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B0" w:rsidRPr="00D2563F" w:rsidRDefault="00B36BB0" w:rsidP="00B36BB0">
      <w:pPr>
        <w:rPr>
          <w:b/>
        </w:rPr>
      </w:pPr>
      <w:r w:rsidRPr="00AB61B3">
        <w:rPr>
          <w:b/>
        </w:rPr>
        <w:t>L’objectif de ce questionnaire est de relever le plan de continuité des services de PMI mis en place dans votre département. Il constituera un support de communication auprès des professionnels concernés de la périnatalité</w:t>
      </w:r>
    </w:p>
    <w:p w:rsidR="00B36BB0" w:rsidRPr="003823C3" w:rsidRDefault="00B36BB0" w:rsidP="00B36BB0">
      <w:pPr>
        <w:rPr>
          <w:b/>
        </w:rPr>
      </w:pPr>
    </w:p>
    <w:tbl>
      <w:tblPr>
        <w:tblStyle w:val="Grilledutableau"/>
        <w:tblW w:w="15593" w:type="dxa"/>
        <w:tblInd w:w="-714" w:type="dxa"/>
        <w:tblLayout w:type="fixed"/>
        <w:tblLook w:val="04A0" w:firstRow="1" w:lastRow="0" w:firstColumn="1" w:lastColumn="0" w:noHBand="0" w:noVBand="1"/>
      </w:tblPr>
      <w:tblGrid>
        <w:gridCol w:w="4253"/>
        <w:gridCol w:w="3113"/>
        <w:gridCol w:w="5245"/>
        <w:gridCol w:w="2982"/>
      </w:tblGrid>
      <w:tr w:rsidR="00B36BB0" w:rsidTr="00B36BB0">
        <w:tc>
          <w:tcPr>
            <w:tcW w:w="15593" w:type="dxa"/>
            <w:gridSpan w:val="4"/>
          </w:tcPr>
          <w:p w:rsidR="00B36BB0" w:rsidRPr="00B36BB0" w:rsidRDefault="00B36BB0" w:rsidP="00B36BB0">
            <w:pPr>
              <w:spacing w:before="240"/>
              <w:jc w:val="center"/>
              <w:rPr>
                <w:b/>
                <w:sz w:val="14"/>
                <w:szCs w:val="14"/>
              </w:rPr>
            </w:pPr>
            <w:r w:rsidRPr="003823C3">
              <w:rPr>
                <w:b/>
              </w:rPr>
              <w:t>Plan de continuité des services PMI-CPEF</w:t>
            </w:r>
          </w:p>
          <w:p w:rsidR="00B36BB0" w:rsidRPr="00807B4C" w:rsidRDefault="00B36BB0" w:rsidP="00171364">
            <w:pPr>
              <w:rPr>
                <w:b/>
              </w:rPr>
            </w:pPr>
          </w:p>
        </w:tc>
      </w:tr>
      <w:tr w:rsidR="00B36BB0" w:rsidTr="00B36BB0">
        <w:tc>
          <w:tcPr>
            <w:tcW w:w="4253" w:type="dxa"/>
          </w:tcPr>
          <w:p w:rsidR="00B36BB0" w:rsidRPr="00807B4C" w:rsidRDefault="00B36BB0" w:rsidP="00171364">
            <w:pPr>
              <w:rPr>
                <w:b/>
              </w:rPr>
            </w:pPr>
            <w:r w:rsidRPr="00807B4C">
              <w:rPr>
                <w:b/>
              </w:rPr>
              <w:t>Activités</w:t>
            </w:r>
          </w:p>
        </w:tc>
        <w:tc>
          <w:tcPr>
            <w:tcW w:w="3113" w:type="dxa"/>
          </w:tcPr>
          <w:p w:rsidR="00B36BB0" w:rsidRDefault="00B36BB0" w:rsidP="00171364">
            <w:pPr>
              <w:rPr>
                <w:b/>
              </w:rPr>
            </w:pPr>
            <w:r>
              <w:rPr>
                <w:b/>
              </w:rPr>
              <w:t xml:space="preserve">Niveau de maintien </w:t>
            </w:r>
          </w:p>
          <w:p w:rsidR="00B36BB0" w:rsidRPr="004B6B80" w:rsidRDefault="00B36BB0" w:rsidP="00171364">
            <w:r>
              <w:t>- maintien total,</w:t>
            </w:r>
          </w:p>
          <w:p w:rsidR="00B36BB0" w:rsidRDefault="00B36BB0" w:rsidP="00171364">
            <w:r>
              <w:t xml:space="preserve">- maintien partiel (sur quels </w:t>
            </w:r>
            <w:r w:rsidRPr="004B6B80">
              <w:t>critères</w:t>
            </w:r>
            <w:r>
              <w:t> ?</w:t>
            </w:r>
            <w:r w:rsidRPr="004B6B80">
              <w:t>)</w:t>
            </w:r>
            <w:r>
              <w:t xml:space="preserve"> </w:t>
            </w:r>
          </w:p>
          <w:p w:rsidR="00B36BB0" w:rsidRPr="003C0FBD" w:rsidRDefault="00B36BB0" w:rsidP="00171364">
            <w:r>
              <w:t xml:space="preserve">- </w:t>
            </w:r>
            <w:r w:rsidRPr="004B6B80">
              <w:t>activité interrompue</w:t>
            </w:r>
          </w:p>
        </w:tc>
        <w:tc>
          <w:tcPr>
            <w:tcW w:w="5245" w:type="dxa"/>
          </w:tcPr>
          <w:p w:rsidR="00B36BB0" w:rsidRDefault="00B36BB0" w:rsidP="00171364">
            <w:pPr>
              <w:rPr>
                <w:b/>
              </w:rPr>
            </w:pPr>
            <w:r w:rsidRPr="00807B4C">
              <w:rPr>
                <w:b/>
              </w:rPr>
              <w:t>Organisation</w:t>
            </w:r>
            <w:r>
              <w:rPr>
                <w:b/>
              </w:rPr>
              <w:t xml:space="preserve"> mise en place </w:t>
            </w:r>
          </w:p>
          <w:p w:rsidR="00B36BB0" w:rsidRPr="00807B4C" w:rsidRDefault="00B36BB0" w:rsidP="00171364">
            <w:pPr>
              <w:rPr>
                <w:b/>
              </w:rPr>
            </w:pPr>
            <w:r w:rsidRPr="00C76618">
              <w:t xml:space="preserve">(modalités / </w:t>
            </w:r>
            <w:r>
              <w:t xml:space="preserve">solutions alternatives / </w:t>
            </w:r>
            <w:r w:rsidRPr="00C76618">
              <w:t>point</w:t>
            </w:r>
            <w:r>
              <w:t>s de contact sur le département/ possibilité de recours pour les professionnels</w:t>
            </w:r>
            <w:proofErr w:type="gramStart"/>
            <w:r>
              <w:t>..)</w:t>
            </w:r>
            <w:proofErr w:type="gramEnd"/>
          </w:p>
        </w:tc>
        <w:tc>
          <w:tcPr>
            <w:tcW w:w="2982" w:type="dxa"/>
          </w:tcPr>
          <w:p w:rsidR="00B36BB0" w:rsidRDefault="00B36BB0" w:rsidP="00171364">
            <w:pPr>
              <w:rPr>
                <w:b/>
              </w:rPr>
            </w:pPr>
            <w:proofErr w:type="gramStart"/>
            <w:r w:rsidRPr="00807B4C">
              <w:rPr>
                <w:b/>
              </w:rPr>
              <w:t>Remarque</w:t>
            </w:r>
            <w:r>
              <w:rPr>
                <w:b/>
              </w:rPr>
              <w:t>s</w:t>
            </w:r>
            <w:proofErr w:type="gramEnd"/>
            <w:r>
              <w:rPr>
                <w:b/>
              </w:rPr>
              <w:t xml:space="preserve">, </w:t>
            </w:r>
          </w:p>
          <w:p w:rsidR="00B36BB0" w:rsidRPr="00807B4C" w:rsidRDefault="00B36BB0" w:rsidP="00171364">
            <w:pPr>
              <w:rPr>
                <w:b/>
              </w:rPr>
            </w:pPr>
            <w:r>
              <w:rPr>
                <w:b/>
              </w:rPr>
              <w:t>difficultés rencontrées par rapport aux besoins</w:t>
            </w:r>
          </w:p>
        </w:tc>
      </w:tr>
      <w:tr w:rsidR="00B36BB0" w:rsidTr="00B36BB0">
        <w:tc>
          <w:tcPr>
            <w:tcW w:w="15593" w:type="dxa"/>
            <w:gridSpan w:val="4"/>
          </w:tcPr>
          <w:p w:rsidR="00B36BB0" w:rsidRPr="003C0FBD" w:rsidRDefault="00B36BB0" w:rsidP="00171364">
            <w:pPr>
              <w:rPr>
                <w:b/>
              </w:rPr>
            </w:pPr>
            <w:r w:rsidRPr="003C0FBD">
              <w:rPr>
                <w:b/>
                <w:color w:val="365F91" w:themeColor="accent1" w:themeShade="BF"/>
              </w:rPr>
              <w:t>PROTECTION INFANTILE</w:t>
            </w:r>
          </w:p>
        </w:tc>
      </w:tr>
      <w:tr w:rsidR="00B36BB0" w:rsidTr="00B36BB0">
        <w:tc>
          <w:tcPr>
            <w:tcW w:w="4253" w:type="dxa"/>
          </w:tcPr>
          <w:p w:rsidR="00B36BB0" w:rsidRPr="00807B4C" w:rsidRDefault="00B36BB0" w:rsidP="00171364">
            <w:r w:rsidRPr="006E736D">
              <w:rPr>
                <w:b/>
              </w:rPr>
              <w:t>Consultations médicales</w:t>
            </w:r>
            <w:r w:rsidRPr="004B6B80">
              <w:t xml:space="preserve"> des premiers mois de vie, notamment pour permettre le suivi de la croissance et du développement, et la réalisatio</w:t>
            </w:r>
            <w:r>
              <w:t>n des vaccinations de l’enfant</w:t>
            </w:r>
          </w:p>
        </w:tc>
        <w:tc>
          <w:tcPr>
            <w:tcW w:w="3113" w:type="dxa"/>
          </w:tcPr>
          <w:p w:rsidR="00B36BB0" w:rsidRDefault="00D705A5" w:rsidP="00181563">
            <w:r>
              <w:t>Partiel a</w:t>
            </w:r>
            <w:r w:rsidR="00181563">
              <w:t>près interruption initiale.</w:t>
            </w:r>
          </w:p>
        </w:tc>
        <w:tc>
          <w:tcPr>
            <w:tcW w:w="5245" w:type="dxa"/>
          </w:tcPr>
          <w:p w:rsidR="00066847" w:rsidRDefault="00181563" w:rsidP="00066847">
            <w:r>
              <w:t xml:space="preserve">Maintien des consultations pour vaccination + </w:t>
            </w:r>
            <w:r w:rsidR="00066847">
              <w:t>consultations</w:t>
            </w:r>
            <w:r>
              <w:t xml:space="preserve"> obligatoires + visites jugées importantes. </w:t>
            </w:r>
            <w:r w:rsidR="00AD7972">
              <w:t>Sur les lieux de consultation habituels</w:t>
            </w:r>
            <w:r w:rsidR="00066847">
              <w:t xml:space="preserve"> aux jours et heures habituels.</w:t>
            </w:r>
          </w:p>
          <w:p w:rsidR="00B36BB0" w:rsidRDefault="00AD7972" w:rsidP="00066847">
            <w:r>
              <w:t xml:space="preserve">Appel en Maisons de la Solidarité, </w:t>
            </w:r>
            <w:r w:rsidR="00D705A5">
              <w:t xml:space="preserve">ou sur un </w:t>
            </w:r>
            <w:r>
              <w:t>numéro unique</w:t>
            </w:r>
            <w:r w:rsidR="00D705A5">
              <w:t xml:space="preserve"> </w:t>
            </w:r>
            <w:r w:rsidR="00D705A5">
              <w:rPr>
                <w:b/>
                <w:bCs/>
                <w:sz w:val="24"/>
                <w:szCs w:val="24"/>
              </w:rPr>
              <w:t>03-55-25-01-43</w:t>
            </w:r>
            <w:r>
              <w:t xml:space="preserve">. Possibilité de contact mail : </w:t>
            </w:r>
            <w:hyperlink r:id="rId7" w:history="1">
              <w:r w:rsidR="00D705A5">
                <w:rPr>
                  <w:rStyle w:val="Lienhypertexte"/>
                  <w:sz w:val="24"/>
                  <w:szCs w:val="24"/>
                </w:rPr>
                <w:t>DS.PMI@meuse.fr</w:t>
              </w:r>
            </w:hyperlink>
          </w:p>
        </w:tc>
        <w:tc>
          <w:tcPr>
            <w:tcW w:w="2982" w:type="dxa"/>
          </w:tcPr>
          <w:p w:rsidR="00B36BB0" w:rsidRDefault="00181563" w:rsidP="00171364">
            <w:r>
              <w:t>Consultations précédées par une pré-consultation d’IDE-puéricultrice par téléphone ou en téléconsultation. Accueil direct par le médecin. Temps de désinfection dédié entre chaque consultation.</w:t>
            </w:r>
          </w:p>
        </w:tc>
      </w:tr>
      <w:tr w:rsidR="00B36BB0" w:rsidTr="00B36BB0">
        <w:tc>
          <w:tcPr>
            <w:tcW w:w="4253" w:type="dxa"/>
          </w:tcPr>
          <w:p w:rsidR="00B36BB0" w:rsidRPr="00807B4C" w:rsidRDefault="00B36BB0" w:rsidP="00171364">
            <w:r w:rsidRPr="006E736D">
              <w:rPr>
                <w:b/>
              </w:rPr>
              <w:t>Consultations de puériculture</w:t>
            </w:r>
            <w:r w:rsidRPr="004B6B80">
              <w:t xml:space="preserve"> des premières semaines de vie, permettant notamment les pesées et les conseils de puériculture aux familles </w:t>
            </w:r>
            <w:r>
              <w:t xml:space="preserve"> / </w:t>
            </w:r>
            <w:r w:rsidRPr="00B6674A">
              <w:t>soutien</w:t>
            </w:r>
            <w:r>
              <w:t xml:space="preserve"> particulier dans la prise en charge de leur jeunes enfants de parents dans des contextes particuliers et à </w:t>
            </w:r>
            <w:r w:rsidRPr="00B6674A">
              <w:t>risque</w:t>
            </w:r>
            <w:r w:rsidRPr="00B6674A">
              <w:tab/>
            </w:r>
          </w:p>
        </w:tc>
        <w:tc>
          <w:tcPr>
            <w:tcW w:w="3113" w:type="dxa"/>
          </w:tcPr>
          <w:p w:rsidR="00B36BB0" w:rsidRDefault="00D705A5" w:rsidP="00171364">
            <w:r>
              <w:t>Partiel</w:t>
            </w:r>
          </w:p>
        </w:tc>
        <w:tc>
          <w:tcPr>
            <w:tcW w:w="5245" w:type="dxa"/>
          </w:tcPr>
          <w:p w:rsidR="00D705A5" w:rsidRDefault="00D705A5" w:rsidP="00066847">
            <w:r>
              <w:t>Téléconsultation</w:t>
            </w:r>
            <w:r w:rsidR="00043E35">
              <w:t>s ou contacts téléphoniques dans un premier temps, systématique avant consultation médicale. Visite à domicile selon besoin, sur information de la maternité, des sages-femmes libérales</w:t>
            </w:r>
            <w:r w:rsidR="007327F2">
              <w:t>, des partenaires (TISF,…)</w:t>
            </w:r>
            <w:r w:rsidR="00043E35">
              <w:t xml:space="preserve"> ou sollicitation directe</w:t>
            </w:r>
            <w:r w:rsidR="007327F2">
              <w:t>.</w:t>
            </w:r>
            <w:r w:rsidR="00066847">
              <w:t xml:space="preserve"> Une</w:t>
            </w:r>
            <w:r w:rsidR="00066847">
              <w:t xml:space="preserve"> puéricultrice de permanence PMI dans </w:t>
            </w:r>
            <w:r w:rsidR="00066847">
              <w:t>chacun des</w:t>
            </w:r>
            <w:r w:rsidR="00066847">
              <w:t xml:space="preserve"> 3 territoires (Nord / Bar le Duc / Commercy)</w:t>
            </w:r>
            <w:r w:rsidR="00066847">
              <w:t>. Les autres sont mobilisables en fonction de la charge de travail.</w:t>
            </w:r>
          </w:p>
        </w:tc>
        <w:tc>
          <w:tcPr>
            <w:tcW w:w="2982" w:type="dxa"/>
          </w:tcPr>
          <w:p w:rsidR="00B36BB0" w:rsidRDefault="00B36BB0" w:rsidP="00171364"/>
        </w:tc>
      </w:tr>
      <w:tr w:rsidR="00B36BB0" w:rsidTr="00B36BB0">
        <w:tc>
          <w:tcPr>
            <w:tcW w:w="4253" w:type="dxa"/>
          </w:tcPr>
          <w:p w:rsidR="00B36BB0" w:rsidRDefault="00B36BB0" w:rsidP="00171364">
            <w:r w:rsidRPr="006E736D">
              <w:rPr>
                <w:b/>
              </w:rPr>
              <w:lastRenderedPageBreak/>
              <w:t>Visites à domicile de puériculture</w:t>
            </w:r>
            <w:r w:rsidRPr="00B01D83">
              <w:t>, notamment pour les sorties de maternité signalées (vulnérabilité identifiée) et dans le cadre de l’évaluation des situations en protection de l’enfance</w:t>
            </w:r>
          </w:p>
          <w:p w:rsidR="00B36BB0" w:rsidRPr="00807B4C" w:rsidRDefault="00B36BB0" w:rsidP="00171364"/>
        </w:tc>
        <w:tc>
          <w:tcPr>
            <w:tcW w:w="3113" w:type="dxa"/>
          </w:tcPr>
          <w:p w:rsidR="00B36BB0" w:rsidRDefault="00043E35" w:rsidP="00171364">
            <w:r>
              <w:t>Maintien total pour les évaluations, les sorties jugées à risque. Maintien partiel pour les situations tout venante</w:t>
            </w:r>
            <w:r w:rsidR="00181563">
              <w:t>s</w:t>
            </w:r>
            <w:r>
              <w:t xml:space="preserve"> (possibilité de téléconsultations)</w:t>
            </w:r>
          </w:p>
        </w:tc>
        <w:tc>
          <w:tcPr>
            <w:tcW w:w="5245" w:type="dxa"/>
          </w:tcPr>
          <w:p w:rsidR="00043E35" w:rsidRDefault="00043E35" w:rsidP="00043E35">
            <w:r>
              <w:t>Visites à domicile maintenues dans les situations jugées nécessaires et indispensables</w:t>
            </w:r>
            <w:r w:rsidR="00066847">
              <w:t xml:space="preserve">. </w:t>
            </w:r>
            <w:r w:rsidR="00066847">
              <w:t xml:space="preserve">Une puéricultrice de permanence </w:t>
            </w:r>
            <w:r w:rsidR="00066847">
              <w:t xml:space="preserve">dans une MDS </w:t>
            </w:r>
            <w:r w:rsidR="00066847">
              <w:t xml:space="preserve">dans chacun des 3 territoires </w:t>
            </w:r>
            <w:r w:rsidR="00D244FB">
              <w:t xml:space="preserve">PMI </w:t>
            </w:r>
            <w:r w:rsidR="00066847">
              <w:t>(Nord / Bar le Duc / Commercy). Les autres sont mobilisables en fonction de la charge de travail.</w:t>
            </w:r>
          </w:p>
          <w:p w:rsidR="00B36BB0" w:rsidRDefault="00B36BB0" w:rsidP="00171364"/>
        </w:tc>
        <w:tc>
          <w:tcPr>
            <w:tcW w:w="2982" w:type="dxa"/>
          </w:tcPr>
          <w:p w:rsidR="00B36BB0" w:rsidRDefault="00B36BB0" w:rsidP="00171364"/>
        </w:tc>
      </w:tr>
      <w:tr w:rsidR="00B36BB0" w:rsidTr="00B36BB0">
        <w:tc>
          <w:tcPr>
            <w:tcW w:w="15593" w:type="dxa"/>
            <w:gridSpan w:val="4"/>
          </w:tcPr>
          <w:p w:rsidR="00B36BB0" w:rsidRPr="00B36BB0" w:rsidRDefault="00B36BB0" w:rsidP="00B36BB0">
            <w:pPr>
              <w:spacing w:before="240"/>
              <w:jc w:val="center"/>
              <w:rPr>
                <w:b/>
                <w:sz w:val="14"/>
                <w:szCs w:val="14"/>
              </w:rPr>
            </w:pPr>
            <w:r w:rsidRPr="003823C3">
              <w:rPr>
                <w:b/>
              </w:rPr>
              <w:t>Plan de continuité des services PMI-CPEF</w:t>
            </w:r>
          </w:p>
          <w:p w:rsidR="00B36BB0" w:rsidRPr="003C0FBD" w:rsidRDefault="00B36BB0" w:rsidP="00171364">
            <w:pPr>
              <w:rPr>
                <w:b/>
                <w:color w:val="365F91" w:themeColor="accent1" w:themeShade="BF"/>
              </w:rPr>
            </w:pPr>
          </w:p>
        </w:tc>
      </w:tr>
      <w:tr w:rsidR="00B36BB0" w:rsidTr="00B36BB0">
        <w:tc>
          <w:tcPr>
            <w:tcW w:w="15593" w:type="dxa"/>
            <w:gridSpan w:val="4"/>
          </w:tcPr>
          <w:p w:rsidR="00B36BB0" w:rsidRPr="003C0FBD" w:rsidRDefault="00B36BB0" w:rsidP="00171364">
            <w:pPr>
              <w:rPr>
                <w:b/>
                <w:color w:val="365F91" w:themeColor="accent1" w:themeShade="BF"/>
              </w:rPr>
            </w:pPr>
            <w:r w:rsidRPr="003C0FBD">
              <w:rPr>
                <w:b/>
                <w:color w:val="365F91" w:themeColor="accent1" w:themeShade="BF"/>
              </w:rPr>
              <w:t>PROTECTION MATERNELLE</w:t>
            </w:r>
          </w:p>
        </w:tc>
      </w:tr>
      <w:tr w:rsidR="00B36BB0" w:rsidTr="00B36BB0">
        <w:tc>
          <w:tcPr>
            <w:tcW w:w="4253" w:type="dxa"/>
          </w:tcPr>
          <w:p w:rsidR="00B36BB0" w:rsidRPr="00DD2605" w:rsidRDefault="00B36BB0" w:rsidP="00171364">
            <w:pPr>
              <w:rPr>
                <w:b/>
              </w:rPr>
            </w:pPr>
            <w:r w:rsidRPr="00DD2605">
              <w:rPr>
                <w:b/>
              </w:rPr>
              <w:t>Les consultations médicales de suivi de grossesse</w:t>
            </w:r>
          </w:p>
          <w:p w:rsidR="00B36BB0" w:rsidRPr="00807B4C" w:rsidRDefault="00B36BB0" w:rsidP="00171364"/>
        </w:tc>
        <w:tc>
          <w:tcPr>
            <w:tcW w:w="3113" w:type="dxa"/>
          </w:tcPr>
          <w:p w:rsidR="00B36BB0" w:rsidRDefault="00181563" w:rsidP="00171364">
            <w:r>
              <w:t>Pas de consultation avant confinement.</w:t>
            </w:r>
          </w:p>
        </w:tc>
        <w:tc>
          <w:tcPr>
            <w:tcW w:w="5245" w:type="dxa"/>
          </w:tcPr>
          <w:p w:rsidR="00B36BB0" w:rsidRDefault="00181563" w:rsidP="00171364">
            <w:r>
              <w:t>Le service ne fonctionne habituellement que par des visites à domicile</w:t>
            </w:r>
            <w:r w:rsidR="00066847">
              <w:t>. Les consultations de sage-femme en centre (hors CPEF) sont exceptionnelles.</w:t>
            </w:r>
          </w:p>
        </w:tc>
        <w:tc>
          <w:tcPr>
            <w:tcW w:w="2982" w:type="dxa"/>
          </w:tcPr>
          <w:p w:rsidR="00B36BB0" w:rsidRDefault="00B36BB0" w:rsidP="00171364"/>
        </w:tc>
      </w:tr>
      <w:tr w:rsidR="00B36BB0" w:rsidTr="00B36BB0">
        <w:tc>
          <w:tcPr>
            <w:tcW w:w="4253" w:type="dxa"/>
          </w:tcPr>
          <w:p w:rsidR="00B36BB0" w:rsidRPr="00DD2605" w:rsidRDefault="00B36BB0" w:rsidP="00171364">
            <w:pPr>
              <w:rPr>
                <w:b/>
              </w:rPr>
            </w:pPr>
            <w:r w:rsidRPr="00DD2605">
              <w:rPr>
                <w:b/>
              </w:rPr>
              <w:t>Les visites à domicile auprès des femmes enceintes</w:t>
            </w:r>
          </w:p>
          <w:p w:rsidR="00B36BB0" w:rsidRDefault="00B36BB0" w:rsidP="00171364"/>
        </w:tc>
        <w:tc>
          <w:tcPr>
            <w:tcW w:w="3113" w:type="dxa"/>
          </w:tcPr>
          <w:p w:rsidR="00B36BB0" w:rsidRDefault="00181563" w:rsidP="00181563">
            <w:r>
              <w:t>Partiel.</w:t>
            </w:r>
          </w:p>
        </w:tc>
        <w:tc>
          <w:tcPr>
            <w:tcW w:w="5245" w:type="dxa"/>
          </w:tcPr>
          <w:p w:rsidR="00B36BB0" w:rsidRDefault="00181563" w:rsidP="00171364">
            <w:r>
              <w:t>La téléconsultation est favorisée. La nécessité des visites à domicile est appréciée au coup par coup.</w:t>
            </w:r>
            <w:r w:rsidR="00066847">
              <w:t xml:space="preserve"> Une sage-femme de permanence </w:t>
            </w:r>
            <w:r w:rsidR="00D244FB">
              <w:t xml:space="preserve">dans une MDS </w:t>
            </w:r>
            <w:r w:rsidR="00066847">
              <w:t>pour le département. Les autres</w:t>
            </w:r>
            <w:r w:rsidR="00D244FB">
              <w:t xml:space="preserve"> sont mobilisables selon le nombre de visites à effectuer.</w:t>
            </w:r>
          </w:p>
        </w:tc>
        <w:tc>
          <w:tcPr>
            <w:tcW w:w="2982" w:type="dxa"/>
          </w:tcPr>
          <w:p w:rsidR="00B36BB0" w:rsidRDefault="00B36BB0" w:rsidP="00171364"/>
        </w:tc>
      </w:tr>
      <w:tr w:rsidR="00B36BB0" w:rsidTr="00B36BB0">
        <w:tc>
          <w:tcPr>
            <w:tcW w:w="15593" w:type="dxa"/>
            <w:gridSpan w:val="4"/>
          </w:tcPr>
          <w:p w:rsidR="00B36BB0" w:rsidRPr="003C0FBD" w:rsidRDefault="00B36BB0" w:rsidP="00171364">
            <w:pPr>
              <w:rPr>
                <w:b/>
              </w:rPr>
            </w:pPr>
            <w:r w:rsidRPr="003C0FBD">
              <w:rPr>
                <w:b/>
                <w:color w:val="365F91" w:themeColor="accent1" w:themeShade="BF"/>
              </w:rPr>
              <w:t>PLANIFICATION FAMILIALE</w:t>
            </w:r>
          </w:p>
        </w:tc>
      </w:tr>
      <w:tr w:rsidR="00B36BB0" w:rsidTr="00B36BB0">
        <w:tc>
          <w:tcPr>
            <w:tcW w:w="4253" w:type="dxa"/>
          </w:tcPr>
          <w:p w:rsidR="00B36BB0" w:rsidRPr="00DD2605" w:rsidRDefault="00B36BB0" w:rsidP="00171364">
            <w:pPr>
              <w:rPr>
                <w:b/>
              </w:rPr>
            </w:pPr>
            <w:r w:rsidRPr="00DD2605">
              <w:rPr>
                <w:b/>
              </w:rPr>
              <w:t>Les consultations médicales de planification familiale (contraception, IST, IVG)</w:t>
            </w:r>
          </w:p>
          <w:p w:rsidR="00B36BB0" w:rsidRPr="00DD2605" w:rsidRDefault="00B36BB0" w:rsidP="00171364">
            <w:pPr>
              <w:rPr>
                <w:b/>
              </w:rPr>
            </w:pPr>
          </w:p>
        </w:tc>
        <w:tc>
          <w:tcPr>
            <w:tcW w:w="3113" w:type="dxa"/>
          </w:tcPr>
          <w:p w:rsidR="00B36BB0" w:rsidRDefault="007327F2" w:rsidP="00171364">
            <w:r>
              <w:t>Partiel</w:t>
            </w:r>
          </w:p>
        </w:tc>
        <w:tc>
          <w:tcPr>
            <w:tcW w:w="5245" w:type="dxa"/>
          </w:tcPr>
          <w:p w:rsidR="00B36BB0" w:rsidRDefault="007327F2" w:rsidP="00171364">
            <w:r>
              <w:t>Par téléphone ou téléconsultation</w:t>
            </w:r>
            <w:r w:rsidR="00D244FB">
              <w:t>.</w:t>
            </w:r>
          </w:p>
        </w:tc>
        <w:tc>
          <w:tcPr>
            <w:tcW w:w="2982" w:type="dxa"/>
          </w:tcPr>
          <w:p w:rsidR="00B36BB0" w:rsidRDefault="00B36BB0" w:rsidP="00171364"/>
        </w:tc>
      </w:tr>
      <w:tr w:rsidR="00B36BB0" w:rsidTr="00B36BB0">
        <w:trPr>
          <w:trHeight w:val="308"/>
        </w:trPr>
        <w:tc>
          <w:tcPr>
            <w:tcW w:w="4253" w:type="dxa"/>
          </w:tcPr>
          <w:p w:rsidR="00B36BB0" w:rsidRPr="00DD2605" w:rsidRDefault="00B36BB0" w:rsidP="00171364">
            <w:pPr>
              <w:rPr>
                <w:b/>
              </w:rPr>
            </w:pPr>
            <w:r w:rsidRPr="00DD2605">
              <w:rPr>
                <w:b/>
              </w:rPr>
              <w:t>Les entretiens de conseil conjugal et familial</w:t>
            </w:r>
          </w:p>
          <w:p w:rsidR="00B36BB0" w:rsidRPr="00DD2605" w:rsidRDefault="00B36BB0" w:rsidP="00171364">
            <w:pPr>
              <w:rPr>
                <w:b/>
              </w:rPr>
            </w:pPr>
          </w:p>
        </w:tc>
        <w:tc>
          <w:tcPr>
            <w:tcW w:w="3113" w:type="dxa"/>
          </w:tcPr>
          <w:p w:rsidR="00B36BB0" w:rsidRDefault="007327F2" w:rsidP="00171364">
            <w:r>
              <w:t>Partiel</w:t>
            </w:r>
          </w:p>
        </w:tc>
        <w:tc>
          <w:tcPr>
            <w:tcW w:w="5245" w:type="dxa"/>
          </w:tcPr>
          <w:p w:rsidR="00B36BB0" w:rsidRDefault="007327F2" w:rsidP="00171364">
            <w:r>
              <w:t>Par téléphone ou téléconsultation</w:t>
            </w:r>
            <w:r w:rsidR="00D244FB">
              <w:t>.</w:t>
            </w:r>
            <w:bookmarkStart w:id="0" w:name="_GoBack"/>
            <w:bookmarkEnd w:id="0"/>
          </w:p>
        </w:tc>
        <w:tc>
          <w:tcPr>
            <w:tcW w:w="2982" w:type="dxa"/>
          </w:tcPr>
          <w:p w:rsidR="00B36BB0" w:rsidRDefault="00B36BB0" w:rsidP="00171364"/>
        </w:tc>
      </w:tr>
      <w:tr w:rsidR="00B36BB0" w:rsidTr="00B36BB0">
        <w:trPr>
          <w:trHeight w:val="308"/>
        </w:trPr>
        <w:tc>
          <w:tcPr>
            <w:tcW w:w="4253" w:type="dxa"/>
          </w:tcPr>
          <w:p w:rsidR="00B36BB0" w:rsidRPr="00DD2605" w:rsidRDefault="00B36BB0" w:rsidP="00171364">
            <w:pPr>
              <w:rPr>
                <w:b/>
              </w:rPr>
            </w:pPr>
            <w:r w:rsidRPr="00DD2605">
              <w:rPr>
                <w:b/>
              </w:rPr>
              <w:lastRenderedPageBreak/>
              <w:t xml:space="preserve">La réalisation des IVG médicamenteuses </w:t>
            </w:r>
            <w:r>
              <w:rPr>
                <w:b/>
              </w:rPr>
              <w:t>(</w:t>
            </w:r>
            <w:r w:rsidRPr="00DD2605">
              <w:rPr>
                <w:b/>
              </w:rPr>
              <w:t>pour les centres qui les pratiquent</w:t>
            </w:r>
            <w:r>
              <w:rPr>
                <w:b/>
              </w:rPr>
              <w:t>)</w:t>
            </w:r>
          </w:p>
        </w:tc>
        <w:tc>
          <w:tcPr>
            <w:tcW w:w="3113" w:type="dxa"/>
          </w:tcPr>
          <w:p w:rsidR="00B36BB0" w:rsidRDefault="007327F2" w:rsidP="00171364">
            <w:r>
              <w:t>Non pratiquée avant le confinement</w:t>
            </w:r>
          </w:p>
        </w:tc>
        <w:tc>
          <w:tcPr>
            <w:tcW w:w="5245" w:type="dxa"/>
          </w:tcPr>
          <w:p w:rsidR="00B36BB0" w:rsidRDefault="00B36BB0" w:rsidP="00171364"/>
        </w:tc>
        <w:tc>
          <w:tcPr>
            <w:tcW w:w="2982" w:type="dxa"/>
          </w:tcPr>
          <w:p w:rsidR="00B36BB0" w:rsidRDefault="00B36BB0" w:rsidP="00171364"/>
        </w:tc>
      </w:tr>
    </w:tbl>
    <w:p w:rsidR="00B36BB0" w:rsidRDefault="00B36BB0" w:rsidP="00B36BB0"/>
    <w:p w:rsidR="00B36BB0" w:rsidRDefault="00B36BB0" w:rsidP="00B36BB0"/>
    <w:p w:rsidR="00B36BB0" w:rsidRDefault="00B36BB0" w:rsidP="00B36BB0">
      <w:r>
        <w:t xml:space="preserve"> </w:t>
      </w:r>
    </w:p>
    <w:p w:rsidR="002352B0" w:rsidRPr="00DB17E2" w:rsidRDefault="002352B0" w:rsidP="00DB17E2">
      <w:pPr>
        <w:pStyle w:val="En-tte"/>
        <w:tabs>
          <w:tab w:val="clear" w:pos="4536"/>
          <w:tab w:val="clear" w:pos="9072"/>
          <w:tab w:val="left" w:pos="1276"/>
        </w:tabs>
        <w:jc w:val="right"/>
        <w:rPr>
          <w:sz w:val="22"/>
          <w:lang w:val="pt-BR"/>
        </w:rPr>
      </w:pPr>
    </w:p>
    <w:sectPr w:rsidR="002352B0" w:rsidRPr="00DB17E2" w:rsidSect="003C0FB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26" w:rsidRDefault="00556A26">
      <w:r>
        <w:separator/>
      </w:r>
    </w:p>
  </w:endnote>
  <w:endnote w:type="continuationSeparator" w:id="0">
    <w:p w:rsidR="00556A26" w:rsidRDefault="005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AF" w:rsidRDefault="005C6FBA">
    <w:pPr>
      <w:pStyle w:val="Pieddepage"/>
      <w:jc w:val="center"/>
      <w:rPr>
        <w:rFonts w:ascii="Tahoma" w:hAnsi="Tahoma"/>
        <w:b/>
        <w:color w:val="000000"/>
      </w:rPr>
    </w:pPr>
    <w:r>
      <w:rPr>
        <w:rFonts w:ascii="Tahoma" w:hAnsi="Tahoma"/>
        <w:b/>
        <w:color w:val="000000"/>
      </w:rPr>
      <w:t>Coordination Périnatale Grand Est (</w:t>
    </w:r>
    <w:proofErr w:type="spellStart"/>
    <w:r>
      <w:rPr>
        <w:rFonts w:ascii="Tahoma" w:hAnsi="Tahoma"/>
        <w:b/>
        <w:color w:val="000000"/>
      </w:rPr>
      <w:t>CoPéGE</w:t>
    </w:r>
    <w:proofErr w:type="spellEnd"/>
    <w:r>
      <w:rPr>
        <w:rFonts w:ascii="Tahoma" w:hAnsi="Tahoma"/>
        <w:b/>
        <w:color w:val="000000"/>
      </w:rPr>
      <w:t>)</w:t>
    </w:r>
  </w:p>
  <w:p w:rsidR="006E6FAF" w:rsidRDefault="006E6FAF">
    <w:pPr>
      <w:pStyle w:val="Pieddepage"/>
      <w:jc w:val="center"/>
      <w:rPr>
        <w:rFonts w:ascii="Tahoma" w:hAnsi="Tahoma"/>
      </w:rPr>
    </w:pPr>
    <w:r>
      <w:rPr>
        <w:rFonts w:ascii="Tahoma" w:hAnsi="Tahoma"/>
      </w:rPr>
      <w:t xml:space="preserve">10 </w:t>
    </w:r>
    <w:proofErr w:type="gramStart"/>
    <w:r>
      <w:rPr>
        <w:rFonts w:ascii="Tahoma" w:hAnsi="Tahoma"/>
      </w:rPr>
      <w:t>rue</w:t>
    </w:r>
    <w:proofErr w:type="gramEnd"/>
    <w:r>
      <w:rPr>
        <w:rFonts w:ascii="Tahoma" w:hAnsi="Tahoma"/>
      </w:rPr>
      <w:t xml:space="preserve"> du Docteur </w:t>
    </w:r>
    <w:proofErr w:type="spellStart"/>
    <w:r>
      <w:rPr>
        <w:rFonts w:ascii="Tahoma" w:hAnsi="Tahoma"/>
      </w:rPr>
      <w:t>Heydenreich</w:t>
    </w:r>
    <w:proofErr w:type="spellEnd"/>
    <w:r>
      <w:rPr>
        <w:rFonts w:ascii="Tahoma" w:hAnsi="Tahoma"/>
      </w:rPr>
      <w:t xml:space="preserve"> - CS 74213 - 54042 NANCY Cedex</w:t>
    </w:r>
  </w:p>
  <w:p w:rsidR="006E6FAF" w:rsidRPr="002B6441" w:rsidRDefault="006E6FAF" w:rsidP="002B6441">
    <w:pPr>
      <w:pStyle w:val="Pieddepage"/>
      <w:jc w:val="center"/>
      <w:rPr>
        <w:sz w:val="18"/>
        <w:szCs w:val="18"/>
      </w:rPr>
    </w:pPr>
    <w:r w:rsidRPr="002B6441">
      <w:rPr>
        <w:rFonts w:ascii="Tahoma" w:hAnsi="Tahoma"/>
        <w:sz w:val="18"/>
        <w:szCs w:val="18"/>
      </w:rPr>
      <w:t>Tél 03 83 3</w:t>
    </w:r>
    <w:r w:rsidR="00D95C96">
      <w:rPr>
        <w:rFonts w:ascii="Tahoma" w:hAnsi="Tahoma"/>
        <w:sz w:val="18"/>
        <w:szCs w:val="18"/>
      </w:rPr>
      <w:t xml:space="preserve">4 36 44 </w:t>
    </w:r>
  </w:p>
  <w:p w:rsidR="006E6FAF" w:rsidRDefault="006E6FAF">
    <w:pPr>
      <w:pStyle w:val="Pieddepage"/>
      <w:jc w:val="center"/>
    </w:pPr>
  </w:p>
  <w:p w:rsidR="006E6FAF" w:rsidRDefault="006E6FAF" w:rsidP="005C6FBA">
    <w:pPr>
      <w:pStyle w:val="Pieddepage"/>
      <w:rPr>
        <w: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26" w:rsidRDefault="00556A26">
      <w:r>
        <w:separator/>
      </w:r>
    </w:p>
  </w:footnote>
  <w:footnote w:type="continuationSeparator" w:id="0">
    <w:p w:rsidR="00556A26" w:rsidRDefault="0055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BA" w:rsidRDefault="008D53BC">
    <w:pPr>
      <w:pStyle w:val="En-tte"/>
    </w:pPr>
    <w:r>
      <w:rPr>
        <w:rFonts w:ascii="Tahoma" w:hAnsi="Tahoma"/>
        <w:noProof/>
        <w:sz w:val="18"/>
        <w:szCs w:val="18"/>
      </w:rPr>
      <w:drawing>
        <wp:inline distT="0" distB="0" distL="0" distR="0" wp14:anchorId="794E2B94" wp14:editId="46EAC21A">
          <wp:extent cx="2800909" cy="1126541"/>
          <wp:effectExtent l="0" t="0" r="0" b="0"/>
          <wp:docPr id="3" name="Image 3" descr="C:\Users\u588043\Desktop\logo\logo_cop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588043\Desktop\logo\logo_cope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629" cy="1131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A05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CC41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CD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44F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809A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69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C7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42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63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8E0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F7C78"/>
    <w:multiLevelType w:val="hybridMultilevel"/>
    <w:tmpl w:val="9880F1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60CBD"/>
    <w:multiLevelType w:val="hybridMultilevel"/>
    <w:tmpl w:val="9FBA24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30011"/>
    <w:multiLevelType w:val="hybridMultilevel"/>
    <w:tmpl w:val="561614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8407F"/>
    <w:multiLevelType w:val="hybridMultilevel"/>
    <w:tmpl w:val="46B4D5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7E01997"/>
    <w:multiLevelType w:val="hybridMultilevel"/>
    <w:tmpl w:val="FC921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6B4E15"/>
    <w:multiLevelType w:val="hybridMultilevel"/>
    <w:tmpl w:val="75EA1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A4605B"/>
    <w:multiLevelType w:val="hybridMultilevel"/>
    <w:tmpl w:val="33EE87B6"/>
    <w:lvl w:ilvl="0" w:tplc="72CC7D10">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A8"/>
    <w:rsid w:val="00043E35"/>
    <w:rsid w:val="0005140C"/>
    <w:rsid w:val="00057673"/>
    <w:rsid w:val="00066847"/>
    <w:rsid w:val="000741AA"/>
    <w:rsid w:val="000A28BA"/>
    <w:rsid w:val="000B5F40"/>
    <w:rsid w:val="000C46B9"/>
    <w:rsid w:val="000D2816"/>
    <w:rsid w:val="000D5D2D"/>
    <w:rsid w:val="000F7B3F"/>
    <w:rsid w:val="00103791"/>
    <w:rsid w:val="001263E1"/>
    <w:rsid w:val="00136B90"/>
    <w:rsid w:val="001408C7"/>
    <w:rsid w:val="00157BC2"/>
    <w:rsid w:val="00170566"/>
    <w:rsid w:val="00181563"/>
    <w:rsid w:val="001C2187"/>
    <w:rsid w:val="002352B0"/>
    <w:rsid w:val="002417BB"/>
    <w:rsid w:val="002422F3"/>
    <w:rsid w:val="002813F2"/>
    <w:rsid w:val="00293895"/>
    <w:rsid w:val="002B6441"/>
    <w:rsid w:val="002D2C44"/>
    <w:rsid w:val="002D440B"/>
    <w:rsid w:val="002F1A2C"/>
    <w:rsid w:val="003533A8"/>
    <w:rsid w:val="00363357"/>
    <w:rsid w:val="003942E9"/>
    <w:rsid w:val="003C0254"/>
    <w:rsid w:val="003C1123"/>
    <w:rsid w:val="003C5B53"/>
    <w:rsid w:val="004234EF"/>
    <w:rsid w:val="00432C35"/>
    <w:rsid w:val="00446626"/>
    <w:rsid w:val="00450A9A"/>
    <w:rsid w:val="00460091"/>
    <w:rsid w:val="0048214B"/>
    <w:rsid w:val="004E7D4C"/>
    <w:rsid w:val="00513FB0"/>
    <w:rsid w:val="00534970"/>
    <w:rsid w:val="0054209B"/>
    <w:rsid w:val="00551EBD"/>
    <w:rsid w:val="00556A26"/>
    <w:rsid w:val="00557577"/>
    <w:rsid w:val="005B6E83"/>
    <w:rsid w:val="005C6FBA"/>
    <w:rsid w:val="005E493B"/>
    <w:rsid w:val="005F0935"/>
    <w:rsid w:val="0062315E"/>
    <w:rsid w:val="006266ED"/>
    <w:rsid w:val="00637239"/>
    <w:rsid w:val="006578DA"/>
    <w:rsid w:val="00677330"/>
    <w:rsid w:val="00687EB6"/>
    <w:rsid w:val="006D34BA"/>
    <w:rsid w:val="006E31E8"/>
    <w:rsid w:val="006E6FAF"/>
    <w:rsid w:val="00702E25"/>
    <w:rsid w:val="00714071"/>
    <w:rsid w:val="0071495E"/>
    <w:rsid w:val="00720132"/>
    <w:rsid w:val="007327F2"/>
    <w:rsid w:val="007541F9"/>
    <w:rsid w:val="007800A5"/>
    <w:rsid w:val="0079364B"/>
    <w:rsid w:val="007A17FD"/>
    <w:rsid w:val="007B7C9C"/>
    <w:rsid w:val="007C5EF7"/>
    <w:rsid w:val="007E6D5D"/>
    <w:rsid w:val="00813D04"/>
    <w:rsid w:val="00815E3D"/>
    <w:rsid w:val="00816B12"/>
    <w:rsid w:val="00826212"/>
    <w:rsid w:val="0088415F"/>
    <w:rsid w:val="008D503F"/>
    <w:rsid w:val="008D53BC"/>
    <w:rsid w:val="008E13A9"/>
    <w:rsid w:val="008F2B83"/>
    <w:rsid w:val="00915334"/>
    <w:rsid w:val="00921CAE"/>
    <w:rsid w:val="0093419A"/>
    <w:rsid w:val="009745D2"/>
    <w:rsid w:val="0098273B"/>
    <w:rsid w:val="00986293"/>
    <w:rsid w:val="009A663D"/>
    <w:rsid w:val="009D663E"/>
    <w:rsid w:val="009F3F7F"/>
    <w:rsid w:val="00A05772"/>
    <w:rsid w:val="00A12C82"/>
    <w:rsid w:val="00A826C9"/>
    <w:rsid w:val="00A94B6D"/>
    <w:rsid w:val="00AB1AE6"/>
    <w:rsid w:val="00AC2B2B"/>
    <w:rsid w:val="00AD7972"/>
    <w:rsid w:val="00AE0B20"/>
    <w:rsid w:val="00AF018B"/>
    <w:rsid w:val="00B22600"/>
    <w:rsid w:val="00B25DB8"/>
    <w:rsid w:val="00B30B69"/>
    <w:rsid w:val="00B31B39"/>
    <w:rsid w:val="00B36BB0"/>
    <w:rsid w:val="00B62440"/>
    <w:rsid w:val="00BC1B86"/>
    <w:rsid w:val="00BC6594"/>
    <w:rsid w:val="00BC7EE6"/>
    <w:rsid w:val="00BD164A"/>
    <w:rsid w:val="00C21E3F"/>
    <w:rsid w:val="00C66C9A"/>
    <w:rsid w:val="00CB0FBD"/>
    <w:rsid w:val="00CD227B"/>
    <w:rsid w:val="00CE1C21"/>
    <w:rsid w:val="00CF2EC4"/>
    <w:rsid w:val="00D03DA4"/>
    <w:rsid w:val="00D244FB"/>
    <w:rsid w:val="00D24616"/>
    <w:rsid w:val="00D31318"/>
    <w:rsid w:val="00D45AAF"/>
    <w:rsid w:val="00D55F46"/>
    <w:rsid w:val="00D705A5"/>
    <w:rsid w:val="00D72089"/>
    <w:rsid w:val="00D8089F"/>
    <w:rsid w:val="00D95C96"/>
    <w:rsid w:val="00DB17E2"/>
    <w:rsid w:val="00DC1CB9"/>
    <w:rsid w:val="00DC456C"/>
    <w:rsid w:val="00DF2043"/>
    <w:rsid w:val="00E2121A"/>
    <w:rsid w:val="00E26405"/>
    <w:rsid w:val="00E60612"/>
    <w:rsid w:val="00E657DA"/>
    <w:rsid w:val="00E9490E"/>
    <w:rsid w:val="00E94959"/>
    <w:rsid w:val="00EC1D24"/>
    <w:rsid w:val="00F01333"/>
    <w:rsid w:val="00F04F1B"/>
    <w:rsid w:val="00F05EC0"/>
    <w:rsid w:val="00F20EC2"/>
    <w:rsid w:val="00F301ED"/>
    <w:rsid w:val="00F31BA8"/>
    <w:rsid w:val="00F32171"/>
    <w:rsid w:val="00F334A7"/>
    <w:rsid w:val="00F41EDE"/>
    <w:rsid w:val="00F47EBD"/>
    <w:rsid w:val="00F57CD5"/>
    <w:rsid w:val="00F968EE"/>
    <w:rsid w:val="00FB6CB0"/>
    <w:rsid w:val="00FB76CA"/>
    <w:rsid w:val="00FE2FF1"/>
    <w:rsid w:val="00FE605E"/>
    <w:rsid w:val="00FF6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72BEF58B-270F-4827-AE6B-8BB3174F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Titre1">
    <w:name w:val="heading 1"/>
    <w:basedOn w:val="Normal"/>
    <w:next w:val="Normal"/>
    <w:link w:val="Titre1Car"/>
    <w:qFormat/>
    <w:pPr>
      <w:keepNext/>
      <w:framePr w:w="3179" w:h="289" w:hSpace="141" w:wrap="around" w:vAnchor="text" w:hAnchor="page" w:x="1008" w:y="151"/>
      <w:jc w:val="center"/>
      <w:outlineLvl w:val="0"/>
    </w:pPr>
    <w:rPr>
      <w:b/>
      <w:bCs/>
      <w:i/>
      <w:iCs/>
      <w:sz w:val="18"/>
      <w:szCs w:val="18"/>
    </w:rPr>
  </w:style>
  <w:style w:type="paragraph" w:styleId="Titre2">
    <w:name w:val="heading 2"/>
    <w:basedOn w:val="Normal"/>
    <w:next w:val="Normal"/>
    <w:qFormat/>
    <w:pPr>
      <w:keepNext/>
      <w:outlineLvl w:val="1"/>
    </w:pPr>
    <w:rPr>
      <w:i/>
      <w:iCs/>
    </w:rPr>
  </w:style>
  <w:style w:type="paragraph" w:styleId="Titre3">
    <w:name w:val="heading 3"/>
    <w:basedOn w:val="Normal"/>
    <w:next w:val="Normal"/>
    <w:qFormat/>
    <w:pPr>
      <w:keepNext/>
      <w:ind w:left="993" w:right="283"/>
      <w:outlineLvl w:val="2"/>
    </w:pPr>
    <w:rPr>
      <w:rFonts w:ascii="Comic Sans MS" w:hAnsi="Comic Sans MS"/>
      <w:b/>
      <w:bCs/>
      <w:i/>
      <w:iCs/>
      <w:sz w:val="18"/>
      <w:szCs w:val="18"/>
    </w:rPr>
  </w:style>
  <w:style w:type="paragraph" w:styleId="Titre5">
    <w:name w:val="heading 5"/>
    <w:basedOn w:val="Normal"/>
    <w:next w:val="Normal"/>
    <w:qFormat/>
    <w:pPr>
      <w:keepNext/>
      <w:tabs>
        <w:tab w:val="left" w:pos="567"/>
        <w:tab w:val="left" w:pos="1134"/>
        <w:tab w:val="left" w:pos="5529"/>
      </w:tabs>
      <w:outlineLvl w:val="4"/>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sz w:val="24"/>
      <w:szCs w:val="24"/>
    </w:rPr>
  </w:style>
  <w:style w:type="paragraph" w:styleId="Normalcentr">
    <w:name w:val="Block Text"/>
    <w:basedOn w:val="Normal"/>
    <w:pPr>
      <w:ind w:left="993" w:right="283"/>
    </w:pPr>
    <w:rPr>
      <w:rFonts w:ascii="Comic Sans MS" w:hAnsi="Comic Sans MS"/>
      <w:sz w:val="18"/>
      <w:szCs w:val="18"/>
    </w:rPr>
  </w:style>
  <w:style w:type="paragraph" w:styleId="Retraitcorpsdetexte">
    <w:name w:val="Body Text Indent"/>
    <w:basedOn w:val="Normal"/>
    <w:pPr>
      <w:ind w:left="993"/>
    </w:pPr>
    <w:rPr>
      <w:rFonts w:ascii="Comic Sans MS" w:hAnsi="Comic Sans MS"/>
      <w:i/>
      <w:iCs/>
      <w:sz w:val="18"/>
      <w:szCs w:val="18"/>
    </w:rPr>
  </w:style>
  <w:style w:type="character" w:styleId="Lienhypertexte">
    <w:name w:val="Hyperlink"/>
    <w:basedOn w:val="Policepardfaut"/>
    <w:rPr>
      <w:color w:val="0000FF"/>
      <w:u w:val="single"/>
    </w:rPr>
  </w:style>
  <w:style w:type="paragraph" w:styleId="Explorateurdedocuments">
    <w:name w:val="Document Map"/>
    <w:basedOn w:val="Normal"/>
    <w:semiHidden/>
    <w:pPr>
      <w:shd w:val="clear" w:color="auto" w:fill="000080"/>
    </w:pPr>
    <w:rPr>
      <w:rFonts w:ascii="Tahoma" w:hAnsi="Tahoma" w:cs="Comic Sans MS"/>
    </w:rPr>
  </w:style>
  <w:style w:type="paragraph" w:styleId="Textedebulles">
    <w:name w:val="Balloon Text"/>
    <w:basedOn w:val="Normal"/>
    <w:semiHidden/>
    <w:rPr>
      <w:rFonts w:ascii="Tahoma" w:hAnsi="Tahoma" w:cs="Comic Sans MS"/>
      <w:sz w:val="16"/>
      <w:szCs w:val="16"/>
    </w:rPr>
  </w:style>
  <w:style w:type="paragraph" w:customStyle="1" w:styleId="lgatitre1">
    <w:name w:val="lga titre 1"/>
    <w:basedOn w:val="Normal"/>
    <w:next w:val="Normal"/>
    <w:pPr>
      <w:spacing w:before="240" w:after="60" w:line="360" w:lineRule="auto"/>
    </w:pPr>
    <w:rPr>
      <w:rFonts w:cs="Arial"/>
      <w:b/>
      <w:iCs/>
      <w:kern w:val="32"/>
      <w:sz w:val="32"/>
      <w:szCs w:val="32"/>
    </w:rPr>
  </w:style>
  <w:style w:type="paragraph" w:customStyle="1" w:styleId="lgatitre2">
    <w:name w:val="lga titre 2"/>
    <w:basedOn w:val="Normal"/>
    <w:next w:val="Normal"/>
    <w:pPr>
      <w:spacing w:line="360" w:lineRule="auto"/>
    </w:pPr>
    <w:rPr>
      <w:b/>
      <w:i/>
      <w:sz w:val="28"/>
    </w:rPr>
  </w:style>
  <w:style w:type="paragraph" w:customStyle="1" w:styleId="lgatitre3">
    <w:name w:val="lga titre 3"/>
    <w:basedOn w:val="Normal"/>
    <w:next w:val="Normal"/>
    <w:pPr>
      <w:spacing w:line="360" w:lineRule="auto"/>
    </w:pPr>
    <w:rPr>
      <w:b/>
      <w:sz w:val="24"/>
    </w:rPr>
  </w:style>
  <w:style w:type="character" w:customStyle="1" w:styleId="Titre1Car">
    <w:name w:val="Titre 1 Car"/>
    <w:link w:val="Titre1"/>
    <w:rsid w:val="00460091"/>
    <w:rPr>
      <w:rFonts w:ascii="Arial" w:hAnsi="Arial"/>
      <w:b/>
      <w:bCs/>
      <w:i/>
      <w:iCs/>
      <w:sz w:val="18"/>
      <w:szCs w:val="18"/>
    </w:rPr>
  </w:style>
  <w:style w:type="character" w:customStyle="1" w:styleId="En-tteCar">
    <w:name w:val="En-tête Car"/>
    <w:basedOn w:val="Policepardfaut"/>
    <w:link w:val="En-tte"/>
    <w:rsid w:val="00B62440"/>
    <w:rPr>
      <w:rFonts w:ascii="Arial" w:hAnsi="Arial"/>
    </w:rPr>
  </w:style>
  <w:style w:type="paragraph" w:customStyle="1" w:styleId="Default">
    <w:name w:val="Default"/>
    <w:rsid w:val="00AF018B"/>
    <w:pPr>
      <w:autoSpaceDE w:val="0"/>
      <w:autoSpaceDN w:val="0"/>
      <w:adjustRightInd w:val="0"/>
    </w:pPr>
    <w:rPr>
      <w:rFonts w:ascii="Century Gothic" w:hAnsi="Century Gothic" w:cs="Century Gothic"/>
      <w:color w:val="000000"/>
      <w:sz w:val="24"/>
      <w:szCs w:val="24"/>
    </w:rPr>
  </w:style>
  <w:style w:type="paragraph" w:styleId="Paragraphedeliste">
    <w:name w:val="List Paragraph"/>
    <w:basedOn w:val="Normal"/>
    <w:uiPriority w:val="34"/>
    <w:qFormat/>
    <w:rsid w:val="0062315E"/>
    <w:pPr>
      <w:ind w:left="720"/>
      <w:contextualSpacing/>
    </w:pPr>
  </w:style>
  <w:style w:type="table" w:styleId="Grilledutableau">
    <w:name w:val="Table Grid"/>
    <w:basedOn w:val="TableauNormal"/>
    <w:uiPriority w:val="39"/>
    <w:rsid w:val="00B36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6BB0"/>
    <w:rPr>
      <w:sz w:val="16"/>
      <w:szCs w:val="16"/>
    </w:rPr>
  </w:style>
  <w:style w:type="paragraph" w:styleId="Commentaire">
    <w:name w:val="annotation text"/>
    <w:basedOn w:val="Normal"/>
    <w:link w:val="CommentaireCar"/>
    <w:uiPriority w:val="99"/>
    <w:semiHidden/>
    <w:unhideWhenUsed/>
    <w:rsid w:val="00B36BB0"/>
    <w:pPr>
      <w:spacing w:after="160"/>
      <w:jc w:val="left"/>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B36BB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36674">
      <w:bodyDiv w:val="1"/>
      <w:marLeft w:val="0"/>
      <w:marRight w:val="0"/>
      <w:marTop w:val="0"/>
      <w:marBottom w:val="0"/>
      <w:divBdr>
        <w:top w:val="none" w:sz="0" w:space="0" w:color="auto"/>
        <w:left w:val="none" w:sz="0" w:space="0" w:color="auto"/>
        <w:bottom w:val="none" w:sz="0" w:space="0" w:color="auto"/>
        <w:right w:val="none" w:sz="0" w:space="0" w:color="auto"/>
      </w:divBdr>
      <w:divsChild>
        <w:div w:id="674111396">
          <w:marLeft w:val="0"/>
          <w:marRight w:val="0"/>
          <w:marTop w:val="0"/>
          <w:marBottom w:val="0"/>
          <w:divBdr>
            <w:top w:val="none" w:sz="0" w:space="0" w:color="auto"/>
            <w:left w:val="none" w:sz="0" w:space="0" w:color="auto"/>
            <w:bottom w:val="none" w:sz="0" w:space="0" w:color="auto"/>
            <w:right w:val="none" w:sz="0" w:space="0" w:color="auto"/>
          </w:divBdr>
          <w:divsChild>
            <w:div w:id="2008903978">
              <w:marLeft w:val="0"/>
              <w:marRight w:val="0"/>
              <w:marTop w:val="0"/>
              <w:marBottom w:val="0"/>
              <w:divBdr>
                <w:top w:val="none" w:sz="0" w:space="0" w:color="auto"/>
                <w:left w:val="none" w:sz="0" w:space="0" w:color="auto"/>
                <w:bottom w:val="none" w:sz="0" w:space="0" w:color="auto"/>
                <w:right w:val="none" w:sz="0" w:space="0" w:color="auto"/>
              </w:divBdr>
            </w:div>
            <w:div w:id="164125746">
              <w:marLeft w:val="0"/>
              <w:marRight w:val="0"/>
              <w:marTop w:val="0"/>
              <w:marBottom w:val="0"/>
              <w:divBdr>
                <w:top w:val="none" w:sz="0" w:space="0" w:color="auto"/>
                <w:left w:val="none" w:sz="0" w:space="0" w:color="auto"/>
                <w:bottom w:val="none" w:sz="0" w:space="0" w:color="auto"/>
                <w:right w:val="none" w:sz="0" w:space="0" w:color="auto"/>
              </w:divBdr>
            </w:div>
            <w:div w:id="444735219">
              <w:marLeft w:val="0"/>
              <w:marRight w:val="0"/>
              <w:marTop w:val="0"/>
              <w:marBottom w:val="0"/>
              <w:divBdr>
                <w:top w:val="none" w:sz="0" w:space="0" w:color="auto"/>
                <w:left w:val="none" w:sz="0" w:space="0" w:color="auto"/>
                <w:bottom w:val="none" w:sz="0" w:space="0" w:color="auto"/>
                <w:right w:val="none" w:sz="0" w:space="0" w:color="auto"/>
              </w:divBdr>
            </w:div>
            <w:div w:id="1843936805">
              <w:marLeft w:val="0"/>
              <w:marRight w:val="0"/>
              <w:marTop w:val="0"/>
              <w:marBottom w:val="0"/>
              <w:divBdr>
                <w:top w:val="none" w:sz="0" w:space="0" w:color="auto"/>
                <w:left w:val="none" w:sz="0" w:space="0" w:color="auto"/>
                <w:bottom w:val="none" w:sz="0" w:space="0" w:color="auto"/>
                <w:right w:val="none" w:sz="0" w:space="0" w:color="auto"/>
              </w:divBdr>
            </w:div>
            <w:div w:id="707872564">
              <w:marLeft w:val="0"/>
              <w:marRight w:val="0"/>
              <w:marTop w:val="0"/>
              <w:marBottom w:val="0"/>
              <w:divBdr>
                <w:top w:val="none" w:sz="0" w:space="0" w:color="auto"/>
                <w:left w:val="none" w:sz="0" w:space="0" w:color="auto"/>
                <w:bottom w:val="none" w:sz="0" w:space="0" w:color="auto"/>
                <w:right w:val="none" w:sz="0" w:space="0" w:color="auto"/>
              </w:divBdr>
            </w:div>
            <w:div w:id="594897073">
              <w:marLeft w:val="0"/>
              <w:marRight w:val="0"/>
              <w:marTop w:val="0"/>
              <w:marBottom w:val="0"/>
              <w:divBdr>
                <w:top w:val="none" w:sz="0" w:space="0" w:color="auto"/>
                <w:left w:val="none" w:sz="0" w:space="0" w:color="auto"/>
                <w:bottom w:val="none" w:sz="0" w:space="0" w:color="auto"/>
                <w:right w:val="none" w:sz="0" w:space="0" w:color="auto"/>
              </w:divBdr>
            </w:div>
            <w:div w:id="1839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PMI@me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Nancy, le</vt:lpstr>
    </vt:vector>
  </TitlesOfParts>
  <Company/>
  <LinksUpToDate>false</LinksUpToDate>
  <CharactersWithSpaces>3614</CharactersWithSpaces>
  <SharedDoc>false</SharedDoc>
  <HLinks>
    <vt:vector size="12" baseType="variant">
      <vt:variant>
        <vt:i4>3670064</vt:i4>
      </vt:variant>
      <vt:variant>
        <vt:i4>3</vt:i4>
      </vt:variant>
      <vt:variant>
        <vt:i4>0</vt:i4>
      </vt:variant>
      <vt:variant>
        <vt:i4>5</vt:i4>
      </vt:variant>
      <vt:variant>
        <vt:lpwstr>http://www.reseauperinatallorrain.org/</vt:lpwstr>
      </vt:variant>
      <vt:variant>
        <vt:lpwstr/>
      </vt:variant>
      <vt:variant>
        <vt:i4>1179683</vt:i4>
      </vt:variant>
      <vt:variant>
        <vt:i4>0</vt:i4>
      </vt:variant>
      <vt:variant>
        <vt:i4>0</vt:i4>
      </vt:variant>
      <vt:variant>
        <vt:i4>5</vt:i4>
      </vt:variant>
      <vt:variant>
        <vt:lpwstr>mailto:rpl@maternite.chu-nancy.fr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le</dc:title>
  <dc:subject/>
  <dc:creator>CREUTZ Margaux</dc:creator>
  <cp:keywords/>
  <dc:description/>
  <cp:lastModifiedBy>AMBROISE Denis</cp:lastModifiedBy>
  <cp:revision>4</cp:revision>
  <cp:lastPrinted>2020-04-10T09:25:00Z</cp:lastPrinted>
  <dcterms:created xsi:type="dcterms:W3CDTF">2020-04-15T06:08:00Z</dcterms:created>
  <dcterms:modified xsi:type="dcterms:W3CDTF">2020-04-15T07:22:00Z</dcterms:modified>
</cp:coreProperties>
</file>