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F85AD" w14:textId="77777777" w:rsidR="00B36BB0" w:rsidRPr="00D2563F" w:rsidRDefault="00B36BB0" w:rsidP="00B36BB0">
      <w:pPr>
        <w:rPr>
          <w:b/>
        </w:rPr>
      </w:pPr>
      <w:r w:rsidRPr="00AB61B3">
        <w:rPr>
          <w:b/>
        </w:rPr>
        <w:t>L’objectif de ce questionnaire est de relever le plan de continuité des services de PMI mis en place dans votre département. Il constituera un support de communication auprès des professionnels concernés de la périnatalité</w:t>
      </w:r>
    </w:p>
    <w:p w14:paraId="291812E5" w14:textId="77777777" w:rsidR="00B36BB0" w:rsidRPr="003823C3" w:rsidRDefault="00B36BB0" w:rsidP="00B36BB0">
      <w:pPr>
        <w:rPr>
          <w:b/>
        </w:rPr>
      </w:pPr>
    </w:p>
    <w:tbl>
      <w:tblPr>
        <w:tblStyle w:val="Grilledutableau"/>
        <w:tblW w:w="15593" w:type="dxa"/>
        <w:tblInd w:w="-714" w:type="dxa"/>
        <w:tblLayout w:type="fixed"/>
        <w:tblLook w:val="04A0" w:firstRow="1" w:lastRow="0" w:firstColumn="1" w:lastColumn="0" w:noHBand="0" w:noVBand="1"/>
      </w:tblPr>
      <w:tblGrid>
        <w:gridCol w:w="4253"/>
        <w:gridCol w:w="3113"/>
        <w:gridCol w:w="5245"/>
        <w:gridCol w:w="2982"/>
      </w:tblGrid>
      <w:tr w:rsidR="00B36BB0" w14:paraId="6923250F" w14:textId="77777777" w:rsidTr="00B36BB0">
        <w:tc>
          <w:tcPr>
            <w:tcW w:w="15593" w:type="dxa"/>
            <w:gridSpan w:val="4"/>
          </w:tcPr>
          <w:p w14:paraId="1B9994E4" w14:textId="77777777" w:rsidR="00B36BB0" w:rsidRPr="00B36BB0" w:rsidRDefault="00B36BB0" w:rsidP="00B36BB0">
            <w:pPr>
              <w:spacing w:before="240"/>
              <w:jc w:val="center"/>
              <w:rPr>
                <w:b/>
                <w:sz w:val="14"/>
                <w:szCs w:val="14"/>
              </w:rPr>
            </w:pPr>
            <w:r w:rsidRPr="003823C3">
              <w:rPr>
                <w:b/>
              </w:rPr>
              <w:t>Plan de continuité des services PMI-CPEF</w:t>
            </w:r>
          </w:p>
          <w:p w14:paraId="6DF19D0E" w14:textId="77777777" w:rsidR="00B36BB0" w:rsidRPr="00807B4C" w:rsidRDefault="00B36BB0" w:rsidP="00171364">
            <w:pPr>
              <w:rPr>
                <w:b/>
              </w:rPr>
            </w:pPr>
          </w:p>
        </w:tc>
      </w:tr>
      <w:tr w:rsidR="00B36BB0" w14:paraId="48954DC9" w14:textId="77777777" w:rsidTr="00B36BB0">
        <w:tc>
          <w:tcPr>
            <w:tcW w:w="4253" w:type="dxa"/>
          </w:tcPr>
          <w:p w14:paraId="04519DC6" w14:textId="77777777" w:rsidR="00B36BB0" w:rsidRPr="00807B4C" w:rsidRDefault="00B36BB0" w:rsidP="00171364">
            <w:pPr>
              <w:rPr>
                <w:b/>
              </w:rPr>
            </w:pPr>
            <w:r w:rsidRPr="00807B4C">
              <w:rPr>
                <w:b/>
              </w:rPr>
              <w:t>Activités</w:t>
            </w:r>
          </w:p>
        </w:tc>
        <w:tc>
          <w:tcPr>
            <w:tcW w:w="3113" w:type="dxa"/>
          </w:tcPr>
          <w:p w14:paraId="4A1E68EE" w14:textId="77777777" w:rsidR="00B36BB0" w:rsidRDefault="00B36BB0" w:rsidP="00171364">
            <w:pPr>
              <w:rPr>
                <w:b/>
              </w:rPr>
            </w:pPr>
            <w:r>
              <w:rPr>
                <w:b/>
              </w:rPr>
              <w:t xml:space="preserve">Niveau de maintien </w:t>
            </w:r>
          </w:p>
          <w:p w14:paraId="0BAC4E8D" w14:textId="77777777" w:rsidR="00B36BB0" w:rsidRPr="004B6B80" w:rsidRDefault="00B36BB0" w:rsidP="00171364">
            <w:r>
              <w:t>- maintien total,</w:t>
            </w:r>
          </w:p>
          <w:p w14:paraId="6C4E33C3" w14:textId="77777777" w:rsidR="00B36BB0" w:rsidRDefault="00B36BB0" w:rsidP="00171364">
            <w:r>
              <w:t xml:space="preserve">- maintien partiel (sur quels </w:t>
            </w:r>
            <w:r w:rsidRPr="004B6B80">
              <w:t>critères</w:t>
            </w:r>
            <w:r>
              <w:t> ?</w:t>
            </w:r>
            <w:r w:rsidRPr="004B6B80">
              <w:t>)</w:t>
            </w:r>
            <w:r>
              <w:t xml:space="preserve"> </w:t>
            </w:r>
          </w:p>
          <w:p w14:paraId="0F24B70E" w14:textId="77777777" w:rsidR="00B36BB0" w:rsidRPr="003C0FBD" w:rsidRDefault="00B36BB0" w:rsidP="00171364">
            <w:r>
              <w:t xml:space="preserve">- </w:t>
            </w:r>
            <w:r w:rsidRPr="004B6B80">
              <w:t>activité interrompue</w:t>
            </w:r>
          </w:p>
        </w:tc>
        <w:tc>
          <w:tcPr>
            <w:tcW w:w="5245" w:type="dxa"/>
          </w:tcPr>
          <w:p w14:paraId="0E8F4744" w14:textId="77777777" w:rsidR="00B36BB0" w:rsidRDefault="00B36BB0" w:rsidP="00171364">
            <w:pPr>
              <w:rPr>
                <w:b/>
              </w:rPr>
            </w:pPr>
            <w:r w:rsidRPr="00807B4C">
              <w:rPr>
                <w:b/>
              </w:rPr>
              <w:t>Organisation</w:t>
            </w:r>
            <w:r>
              <w:rPr>
                <w:b/>
              </w:rPr>
              <w:t xml:space="preserve"> mise en place </w:t>
            </w:r>
          </w:p>
          <w:p w14:paraId="29ADB181" w14:textId="77777777" w:rsidR="00B36BB0" w:rsidRPr="00807B4C" w:rsidRDefault="00B36BB0" w:rsidP="00171364">
            <w:pPr>
              <w:rPr>
                <w:b/>
              </w:rPr>
            </w:pPr>
            <w:r w:rsidRPr="00C76618">
              <w:t xml:space="preserve">(modalités / </w:t>
            </w:r>
            <w:r>
              <w:t xml:space="preserve">solutions alternatives / </w:t>
            </w:r>
            <w:r w:rsidRPr="00C76618">
              <w:t>point</w:t>
            </w:r>
            <w:r>
              <w:t>s de contact sur le département/ possibilité de recours pour les professionnels..)</w:t>
            </w:r>
          </w:p>
        </w:tc>
        <w:tc>
          <w:tcPr>
            <w:tcW w:w="2982" w:type="dxa"/>
          </w:tcPr>
          <w:p w14:paraId="077F6561" w14:textId="77777777" w:rsidR="00B36BB0" w:rsidRDefault="00B36BB0" w:rsidP="00171364">
            <w:pPr>
              <w:rPr>
                <w:b/>
              </w:rPr>
            </w:pPr>
            <w:r w:rsidRPr="00807B4C">
              <w:rPr>
                <w:b/>
              </w:rPr>
              <w:t>Remarque</w:t>
            </w:r>
            <w:r>
              <w:rPr>
                <w:b/>
              </w:rPr>
              <w:t xml:space="preserve">s, </w:t>
            </w:r>
          </w:p>
          <w:p w14:paraId="3D60E09A" w14:textId="77777777" w:rsidR="00B36BB0" w:rsidRPr="00807B4C" w:rsidRDefault="00B36BB0" w:rsidP="00171364">
            <w:pPr>
              <w:rPr>
                <w:b/>
              </w:rPr>
            </w:pPr>
            <w:r>
              <w:rPr>
                <w:b/>
              </w:rPr>
              <w:t>difficultés rencontrées par rapport aux besoins</w:t>
            </w:r>
          </w:p>
        </w:tc>
      </w:tr>
      <w:tr w:rsidR="00B36BB0" w14:paraId="037304B2" w14:textId="77777777" w:rsidTr="00B36BB0">
        <w:tc>
          <w:tcPr>
            <w:tcW w:w="15593" w:type="dxa"/>
            <w:gridSpan w:val="4"/>
          </w:tcPr>
          <w:p w14:paraId="22D5E9B2" w14:textId="77777777" w:rsidR="00B36BB0" w:rsidRPr="003C0FBD" w:rsidRDefault="00B36BB0" w:rsidP="00171364">
            <w:pPr>
              <w:rPr>
                <w:b/>
              </w:rPr>
            </w:pPr>
            <w:r w:rsidRPr="003C0FBD">
              <w:rPr>
                <w:b/>
                <w:color w:val="365F91" w:themeColor="accent1" w:themeShade="BF"/>
              </w:rPr>
              <w:t>PROTECTION INFANTILE</w:t>
            </w:r>
          </w:p>
        </w:tc>
      </w:tr>
      <w:tr w:rsidR="00B36BB0" w14:paraId="64F6FFC8" w14:textId="77777777" w:rsidTr="00B36BB0">
        <w:tc>
          <w:tcPr>
            <w:tcW w:w="4253" w:type="dxa"/>
          </w:tcPr>
          <w:p w14:paraId="6E87C886" w14:textId="77777777" w:rsidR="00B36BB0" w:rsidRPr="00807B4C" w:rsidRDefault="00B36BB0" w:rsidP="00171364">
            <w:r w:rsidRPr="006E736D">
              <w:rPr>
                <w:b/>
              </w:rPr>
              <w:t>Consultations médicales</w:t>
            </w:r>
            <w:r w:rsidRPr="004B6B80">
              <w:t xml:space="preserve"> des premiers mois de vie, notamment pour permettre le suivi de la croissance et du développement, et la réalisatio</w:t>
            </w:r>
            <w:r>
              <w:t>n des vaccinations de l’enfant</w:t>
            </w:r>
          </w:p>
        </w:tc>
        <w:tc>
          <w:tcPr>
            <w:tcW w:w="3113" w:type="dxa"/>
          </w:tcPr>
          <w:p w14:paraId="6A24AECB" w14:textId="77777777" w:rsidR="00B36BB0" w:rsidRDefault="00A643C1" w:rsidP="00171364">
            <w:r>
              <w:t>Activité interrompue</w:t>
            </w:r>
          </w:p>
        </w:tc>
        <w:tc>
          <w:tcPr>
            <w:tcW w:w="5245" w:type="dxa"/>
          </w:tcPr>
          <w:p w14:paraId="1C52942A" w14:textId="77777777" w:rsidR="00B36BB0" w:rsidRDefault="00A643C1" w:rsidP="00171364">
            <w:r>
              <w:t>Renvoi vers les médecins généralistes et pédiatres</w:t>
            </w:r>
          </w:p>
        </w:tc>
        <w:tc>
          <w:tcPr>
            <w:tcW w:w="2982" w:type="dxa"/>
          </w:tcPr>
          <w:p w14:paraId="270AD0BF" w14:textId="77777777" w:rsidR="00B36BB0" w:rsidRDefault="00B36BB0" w:rsidP="00171364"/>
        </w:tc>
      </w:tr>
      <w:tr w:rsidR="00B36BB0" w14:paraId="0C339362" w14:textId="77777777" w:rsidTr="00B36BB0">
        <w:tc>
          <w:tcPr>
            <w:tcW w:w="4253" w:type="dxa"/>
          </w:tcPr>
          <w:p w14:paraId="72BF9809" w14:textId="77777777" w:rsidR="00B36BB0" w:rsidRPr="00807B4C" w:rsidRDefault="00B36BB0" w:rsidP="00171364">
            <w:r w:rsidRPr="006E736D">
              <w:rPr>
                <w:b/>
              </w:rPr>
              <w:t>Consultations de puériculture</w:t>
            </w:r>
            <w:r w:rsidRPr="004B6B80">
              <w:t xml:space="preserve"> des premières semaines de vie, permettant notamment les pesées et les conseils de puériculture aux familles </w:t>
            </w:r>
            <w:r>
              <w:t xml:space="preserve"> / </w:t>
            </w:r>
            <w:r w:rsidRPr="00B6674A">
              <w:t>soutien</w:t>
            </w:r>
            <w:r>
              <w:t xml:space="preserve"> particulier dans la prise en charge de leur jeunes enfants de parents dans des contextes particuliers et à </w:t>
            </w:r>
            <w:r w:rsidRPr="00B6674A">
              <w:t>risque</w:t>
            </w:r>
            <w:r w:rsidRPr="00B6674A">
              <w:tab/>
            </w:r>
          </w:p>
        </w:tc>
        <w:tc>
          <w:tcPr>
            <w:tcW w:w="3113" w:type="dxa"/>
          </w:tcPr>
          <w:p w14:paraId="3B387F31" w14:textId="77777777" w:rsidR="00B36BB0" w:rsidRDefault="00A643C1" w:rsidP="00171364">
            <w:r>
              <w:t>Activité interrompue</w:t>
            </w:r>
          </w:p>
        </w:tc>
        <w:tc>
          <w:tcPr>
            <w:tcW w:w="5245" w:type="dxa"/>
          </w:tcPr>
          <w:p w14:paraId="01744043" w14:textId="77777777" w:rsidR="00B36BB0" w:rsidRDefault="00A643C1" w:rsidP="00171364">
            <w:r>
              <w:t>Renvoi vers les médecins généralistes et pédiatres</w:t>
            </w:r>
          </w:p>
        </w:tc>
        <w:tc>
          <w:tcPr>
            <w:tcW w:w="2982" w:type="dxa"/>
          </w:tcPr>
          <w:p w14:paraId="63D20C6D" w14:textId="77777777" w:rsidR="00B36BB0" w:rsidRDefault="00B36BB0" w:rsidP="00171364"/>
        </w:tc>
      </w:tr>
      <w:tr w:rsidR="00B36BB0" w14:paraId="2B0C333E" w14:textId="77777777" w:rsidTr="00B36BB0">
        <w:tc>
          <w:tcPr>
            <w:tcW w:w="4253" w:type="dxa"/>
          </w:tcPr>
          <w:p w14:paraId="31A9D71E" w14:textId="77777777" w:rsidR="00B36BB0" w:rsidRDefault="00B36BB0" w:rsidP="00171364">
            <w:r w:rsidRPr="006E736D">
              <w:rPr>
                <w:b/>
              </w:rPr>
              <w:t>Visites à domicile de puériculture</w:t>
            </w:r>
            <w:r w:rsidRPr="00B01D83">
              <w:t>, notamment pour les sorties de maternité signalées (vulnérabilité identifiée) et dans le cadre de l’évaluation des situations en protection de l’enfance</w:t>
            </w:r>
          </w:p>
          <w:p w14:paraId="5BAE5C6F" w14:textId="77777777" w:rsidR="00B36BB0" w:rsidRPr="00807B4C" w:rsidRDefault="00B36BB0" w:rsidP="00171364"/>
        </w:tc>
        <w:tc>
          <w:tcPr>
            <w:tcW w:w="3113" w:type="dxa"/>
          </w:tcPr>
          <w:p w14:paraId="4B1CF38D" w14:textId="77777777" w:rsidR="00B36BB0" w:rsidRDefault="00A643C1" w:rsidP="00171364">
            <w:r>
              <w:t>Maintien partiel, sur signalement après accord supérieur hiérarchique de la puéricultrice</w:t>
            </w:r>
          </w:p>
        </w:tc>
        <w:tc>
          <w:tcPr>
            <w:tcW w:w="5245" w:type="dxa"/>
          </w:tcPr>
          <w:p w14:paraId="05A6E4C7" w14:textId="77777777" w:rsidR="00AD67CF" w:rsidRDefault="00A643C1" w:rsidP="00171364">
            <w:r>
              <w:t>Beaucoup de contacts téléphoniques</w:t>
            </w:r>
          </w:p>
          <w:p w14:paraId="30B85146" w14:textId="5D34A05B" w:rsidR="00AD67CF" w:rsidRDefault="00AD67CF" w:rsidP="00171364">
            <w:r>
              <w:t>Renvoi vers les SF libérales pour les VAD du premier mois de vie</w:t>
            </w:r>
            <w:bookmarkStart w:id="0" w:name="_GoBack"/>
            <w:bookmarkEnd w:id="0"/>
          </w:p>
        </w:tc>
        <w:tc>
          <w:tcPr>
            <w:tcW w:w="2982" w:type="dxa"/>
          </w:tcPr>
          <w:p w14:paraId="2A12B73C" w14:textId="77777777" w:rsidR="00B36BB0" w:rsidRDefault="00B36BB0" w:rsidP="00171364"/>
        </w:tc>
      </w:tr>
      <w:tr w:rsidR="00B36BB0" w14:paraId="286BEBD4" w14:textId="77777777" w:rsidTr="00B36BB0">
        <w:tc>
          <w:tcPr>
            <w:tcW w:w="15593" w:type="dxa"/>
            <w:gridSpan w:val="4"/>
          </w:tcPr>
          <w:p w14:paraId="0E169F14" w14:textId="77777777" w:rsidR="00B36BB0" w:rsidRPr="00B36BB0" w:rsidRDefault="00B36BB0" w:rsidP="00B36BB0">
            <w:pPr>
              <w:spacing w:before="240"/>
              <w:jc w:val="center"/>
              <w:rPr>
                <w:b/>
                <w:sz w:val="14"/>
                <w:szCs w:val="14"/>
              </w:rPr>
            </w:pPr>
            <w:r w:rsidRPr="003823C3">
              <w:rPr>
                <w:b/>
              </w:rPr>
              <w:lastRenderedPageBreak/>
              <w:t>Plan de continuité des services PMI-CPEF</w:t>
            </w:r>
          </w:p>
          <w:p w14:paraId="14E175AB" w14:textId="77777777" w:rsidR="00B36BB0" w:rsidRPr="003C0FBD" w:rsidRDefault="00B36BB0" w:rsidP="00171364">
            <w:pPr>
              <w:rPr>
                <w:b/>
                <w:color w:val="365F91" w:themeColor="accent1" w:themeShade="BF"/>
              </w:rPr>
            </w:pPr>
          </w:p>
        </w:tc>
      </w:tr>
      <w:tr w:rsidR="00B36BB0" w14:paraId="52DEA81C" w14:textId="77777777" w:rsidTr="00B36BB0">
        <w:tc>
          <w:tcPr>
            <w:tcW w:w="15593" w:type="dxa"/>
            <w:gridSpan w:val="4"/>
          </w:tcPr>
          <w:p w14:paraId="4F42DB2A" w14:textId="77777777" w:rsidR="00B36BB0" w:rsidRPr="003C0FBD" w:rsidRDefault="00B36BB0" w:rsidP="00171364">
            <w:pPr>
              <w:rPr>
                <w:b/>
                <w:color w:val="365F91" w:themeColor="accent1" w:themeShade="BF"/>
              </w:rPr>
            </w:pPr>
            <w:r w:rsidRPr="003C0FBD">
              <w:rPr>
                <w:b/>
                <w:color w:val="365F91" w:themeColor="accent1" w:themeShade="BF"/>
              </w:rPr>
              <w:t>PROTECTION MATERNELLE</w:t>
            </w:r>
          </w:p>
        </w:tc>
      </w:tr>
      <w:tr w:rsidR="00B36BB0" w14:paraId="45EEB5D8" w14:textId="77777777" w:rsidTr="00B36BB0">
        <w:tc>
          <w:tcPr>
            <w:tcW w:w="4253" w:type="dxa"/>
          </w:tcPr>
          <w:p w14:paraId="42E40972" w14:textId="77777777" w:rsidR="00B36BB0" w:rsidRPr="00DD2605" w:rsidRDefault="00B36BB0" w:rsidP="00171364">
            <w:pPr>
              <w:rPr>
                <w:b/>
              </w:rPr>
            </w:pPr>
            <w:r w:rsidRPr="00DD2605">
              <w:rPr>
                <w:b/>
              </w:rPr>
              <w:t>Les consultations médicales de suivi de grossesse</w:t>
            </w:r>
          </w:p>
          <w:p w14:paraId="414B3AFF" w14:textId="77777777" w:rsidR="00B36BB0" w:rsidRPr="00807B4C" w:rsidRDefault="00B36BB0" w:rsidP="00171364"/>
        </w:tc>
        <w:tc>
          <w:tcPr>
            <w:tcW w:w="3113" w:type="dxa"/>
          </w:tcPr>
          <w:p w14:paraId="7E2327A4" w14:textId="77777777" w:rsidR="00B36BB0" w:rsidRDefault="00A643C1" w:rsidP="00171364">
            <w:r>
              <w:t>Jamais faites dans les Vosges</w:t>
            </w:r>
          </w:p>
        </w:tc>
        <w:tc>
          <w:tcPr>
            <w:tcW w:w="5245" w:type="dxa"/>
          </w:tcPr>
          <w:p w14:paraId="25B4CB12" w14:textId="77777777" w:rsidR="00B36BB0" w:rsidRDefault="00B36BB0" w:rsidP="00171364"/>
        </w:tc>
        <w:tc>
          <w:tcPr>
            <w:tcW w:w="2982" w:type="dxa"/>
          </w:tcPr>
          <w:p w14:paraId="23DF3B32" w14:textId="77777777" w:rsidR="00B36BB0" w:rsidRDefault="00B36BB0" w:rsidP="00171364"/>
        </w:tc>
      </w:tr>
      <w:tr w:rsidR="00B36BB0" w14:paraId="17CA63FA" w14:textId="77777777" w:rsidTr="00B36BB0">
        <w:tc>
          <w:tcPr>
            <w:tcW w:w="4253" w:type="dxa"/>
          </w:tcPr>
          <w:p w14:paraId="71C300A6" w14:textId="77777777" w:rsidR="00B36BB0" w:rsidRPr="00DD2605" w:rsidRDefault="00B36BB0" w:rsidP="00171364">
            <w:pPr>
              <w:rPr>
                <w:b/>
              </w:rPr>
            </w:pPr>
            <w:r w:rsidRPr="00DD2605">
              <w:rPr>
                <w:b/>
              </w:rPr>
              <w:t>Les visites à domicile auprès des femmes enceintes</w:t>
            </w:r>
          </w:p>
          <w:p w14:paraId="60FCD0B2" w14:textId="77777777" w:rsidR="00B36BB0" w:rsidRDefault="00B36BB0" w:rsidP="00171364"/>
        </w:tc>
        <w:tc>
          <w:tcPr>
            <w:tcW w:w="3113" w:type="dxa"/>
          </w:tcPr>
          <w:p w14:paraId="5DDF282F" w14:textId="77777777" w:rsidR="00B36BB0" w:rsidRDefault="00A643C1" w:rsidP="00171364">
            <w:r>
              <w:t>Maintien partiel selon signalement de la maternité et après accord supérieur hiérarchique SF</w:t>
            </w:r>
          </w:p>
        </w:tc>
        <w:tc>
          <w:tcPr>
            <w:tcW w:w="5245" w:type="dxa"/>
          </w:tcPr>
          <w:p w14:paraId="55158603" w14:textId="77777777" w:rsidR="00B36BB0" w:rsidRDefault="00B36BB0" w:rsidP="00171364"/>
        </w:tc>
        <w:tc>
          <w:tcPr>
            <w:tcW w:w="2982" w:type="dxa"/>
          </w:tcPr>
          <w:p w14:paraId="35C3135B" w14:textId="77777777" w:rsidR="00B36BB0" w:rsidRDefault="00B36BB0" w:rsidP="00171364"/>
        </w:tc>
      </w:tr>
      <w:tr w:rsidR="00B36BB0" w14:paraId="645E3459" w14:textId="77777777" w:rsidTr="00B36BB0">
        <w:tc>
          <w:tcPr>
            <w:tcW w:w="15593" w:type="dxa"/>
            <w:gridSpan w:val="4"/>
          </w:tcPr>
          <w:p w14:paraId="4A6A2019" w14:textId="77777777" w:rsidR="00B36BB0" w:rsidRPr="003C0FBD" w:rsidRDefault="00B36BB0" w:rsidP="00171364">
            <w:pPr>
              <w:rPr>
                <w:b/>
              </w:rPr>
            </w:pPr>
            <w:r w:rsidRPr="003C0FBD">
              <w:rPr>
                <w:b/>
                <w:color w:val="365F91" w:themeColor="accent1" w:themeShade="BF"/>
              </w:rPr>
              <w:t>PLANIFICATION FAMILIALE</w:t>
            </w:r>
          </w:p>
        </w:tc>
      </w:tr>
      <w:tr w:rsidR="00B36BB0" w14:paraId="57A9CA05" w14:textId="77777777" w:rsidTr="00B36BB0">
        <w:tc>
          <w:tcPr>
            <w:tcW w:w="4253" w:type="dxa"/>
          </w:tcPr>
          <w:p w14:paraId="0D0B2F4C" w14:textId="77777777" w:rsidR="00B36BB0" w:rsidRPr="00DD2605" w:rsidRDefault="00B36BB0" w:rsidP="00171364">
            <w:pPr>
              <w:rPr>
                <w:b/>
              </w:rPr>
            </w:pPr>
            <w:r w:rsidRPr="00DD2605">
              <w:rPr>
                <w:b/>
              </w:rPr>
              <w:t>Les consultations médicales de planification familiale (contraception, IST, IVG)</w:t>
            </w:r>
          </w:p>
          <w:p w14:paraId="01223ED8" w14:textId="77777777" w:rsidR="00B36BB0" w:rsidRPr="00DD2605" w:rsidRDefault="00B36BB0" w:rsidP="00171364">
            <w:pPr>
              <w:rPr>
                <w:b/>
              </w:rPr>
            </w:pPr>
          </w:p>
        </w:tc>
        <w:tc>
          <w:tcPr>
            <w:tcW w:w="3113" w:type="dxa"/>
          </w:tcPr>
          <w:p w14:paraId="19D19BD8" w14:textId="77777777" w:rsidR="00B36BB0" w:rsidRDefault="00A643C1" w:rsidP="00171364">
            <w:r>
              <w:t>Activité interrompue</w:t>
            </w:r>
          </w:p>
        </w:tc>
        <w:tc>
          <w:tcPr>
            <w:tcW w:w="5245" w:type="dxa"/>
          </w:tcPr>
          <w:p w14:paraId="195469DD" w14:textId="77777777" w:rsidR="00B36BB0" w:rsidRDefault="00A643C1" w:rsidP="00171364">
            <w:r>
              <w:t>Consultation par téléphone possible</w:t>
            </w:r>
          </w:p>
        </w:tc>
        <w:tc>
          <w:tcPr>
            <w:tcW w:w="2982" w:type="dxa"/>
          </w:tcPr>
          <w:p w14:paraId="566E11B2" w14:textId="77777777" w:rsidR="00B36BB0" w:rsidRDefault="00B36BB0" w:rsidP="00171364"/>
        </w:tc>
      </w:tr>
      <w:tr w:rsidR="00B36BB0" w14:paraId="00EBCCCF" w14:textId="77777777" w:rsidTr="00B36BB0">
        <w:trPr>
          <w:trHeight w:val="308"/>
        </w:trPr>
        <w:tc>
          <w:tcPr>
            <w:tcW w:w="4253" w:type="dxa"/>
          </w:tcPr>
          <w:p w14:paraId="27B7F6A3" w14:textId="77777777" w:rsidR="00B36BB0" w:rsidRPr="00DD2605" w:rsidRDefault="00B36BB0" w:rsidP="00171364">
            <w:pPr>
              <w:rPr>
                <w:b/>
              </w:rPr>
            </w:pPr>
            <w:r w:rsidRPr="00DD2605">
              <w:rPr>
                <w:b/>
              </w:rPr>
              <w:t>Les entretiens de conseil conjugal et familial</w:t>
            </w:r>
          </w:p>
          <w:p w14:paraId="577D965E" w14:textId="77777777" w:rsidR="00B36BB0" w:rsidRPr="00DD2605" w:rsidRDefault="00B36BB0" w:rsidP="00171364">
            <w:pPr>
              <w:rPr>
                <w:b/>
              </w:rPr>
            </w:pPr>
          </w:p>
        </w:tc>
        <w:tc>
          <w:tcPr>
            <w:tcW w:w="3113" w:type="dxa"/>
          </w:tcPr>
          <w:p w14:paraId="07FE751C" w14:textId="77777777" w:rsidR="00B36BB0" w:rsidRDefault="00A643C1" w:rsidP="00171364">
            <w:r>
              <w:t>Consultation par téléphone possible</w:t>
            </w:r>
          </w:p>
        </w:tc>
        <w:tc>
          <w:tcPr>
            <w:tcW w:w="5245" w:type="dxa"/>
          </w:tcPr>
          <w:p w14:paraId="47DF684C" w14:textId="77777777" w:rsidR="00B36BB0" w:rsidRDefault="00B36BB0" w:rsidP="00171364"/>
        </w:tc>
        <w:tc>
          <w:tcPr>
            <w:tcW w:w="2982" w:type="dxa"/>
          </w:tcPr>
          <w:p w14:paraId="60B0FD21" w14:textId="77777777" w:rsidR="00B36BB0" w:rsidRDefault="00B36BB0" w:rsidP="00171364"/>
        </w:tc>
      </w:tr>
      <w:tr w:rsidR="00B36BB0" w14:paraId="50EEAC41" w14:textId="77777777" w:rsidTr="00B36BB0">
        <w:trPr>
          <w:trHeight w:val="308"/>
        </w:trPr>
        <w:tc>
          <w:tcPr>
            <w:tcW w:w="4253" w:type="dxa"/>
          </w:tcPr>
          <w:p w14:paraId="711CD14D" w14:textId="77777777" w:rsidR="00B36BB0" w:rsidRPr="00DD2605" w:rsidRDefault="00B36BB0" w:rsidP="00171364">
            <w:pPr>
              <w:rPr>
                <w:b/>
              </w:rPr>
            </w:pPr>
            <w:r w:rsidRPr="00DD2605">
              <w:rPr>
                <w:b/>
              </w:rPr>
              <w:t xml:space="preserve">La réalisation des IVG médicamenteuses </w:t>
            </w:r>
            <w:r>
              <w:rPr>
                <w:b/>
              </w:rPr>
              <w:t>(</w:t>
            </w:r>
            <w:r w:rsidRPr="00DD2605">
              <w:rPr>
                <w:b/>
              </w:rPr>
              <w:t>pour les centres qui les pratiquent</w:t>
            </w:r>
            <w:r>
              <w:rPr>
                <w:b/>
              </w:rPr>
              <w:t>)</w:t>
            </w:r>
          </w:p>
        </w:tc>
        <w:tc>
          <w:tcPr>
            <w:tcW w:w="3113" w:type="dxa"/>
          </w:tcPr>
          <w:p w14:paraId="79966856" w14:textId="77777777" w:rsidR="00B36BB0" w:rsidRDefault="00A643C1" w:rsidP="00171364">
            <w:r>
              <w:t>Renvoi vers centre hospitalier</w:t>
            </w:r>
          </w:p>
        </w:tc>
        <w:tc>
          <w:tcPr>
            <w:tcW w:w="5245" w:type="dxa"/>
          </w:tcPr>
          <w:p w14:paraId="1A2DB03E" w14:textId="77777777" w:rsidR="00B36BB0" w:rsidRDefault="00B36BB0" w:rsidP="00171364"/>
        </w:tc>
        <w:tc>
          <w:tcPr>
            <w:tcW w:w="2982" w:type="dxa"/>
          </w:tcPr>
          <w:p w14:paraId="65CEFDE2" w14:textId="77777777" w:rsidR="00B36BB0" w:rsidRDefault="00B36BB0" w:rsidP="00171364"/>
        </w:tc>
      </w:tr>
    </w:tbl>
    <w:p w14:paraId="6F531BB1" w14:textId="77777777" w:rsidR="00B36BB0" w:rsidRDefault="00B36BB0" w:rsidP="00B36BB0"/>
    <w:p w14:paraId="625A4C96" w14:textId="77777777" w:rsidR="00B36BB0" w:rsidRDefault="00B36BB0" w:rsidP="00B36BB0"/>
    <w:p w14:paraId="3D38F6ED" w14:textId="77777777" w:rsidR="00B36BB0" w:rsidRDefault="00B36BB0" w:rsidP="00B36BB0">
      <w:r>
        <w:t xml:space="preserve"> </w:t>
      </w:r>
    </w:p>
    <w:p w14:paraId="4D65B32B" w14:textId="77777777" w:rsidR="002352B0" w:rsidRPr="00DB17E2" w:rsidRDefault="002352B0" w:rsidP="00DB17E2">
      <w:pPr>
        <w:pStyle w:val="En-tte"/>
        <w:tabs>
          <w:tab w:val="clear" w:pos="4536"/>
          <w:tab w:val="clear" w:pos="9072"/>
          <w:tab w:val="left" w:pos="1276"/>
        </w:tabs>
        <w:jc w:val="right"/>
        <w:rPr>
          <w:sz w:val="22"/>
          <w:lang w:val="pt-BR"/>
        </w:rPr>
      </w:pPr>
    </w:p>
    <w:sectPr w:rsidR="002352B0" w:rsidRPr="00DB17E2" w:rsidSect="003C0FBD">
      <w:headerReference w:type="default" r:id="rId10"/>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F505B" w14:textId="77777777" w:rsidR="008E13A9" w:rsidRDefault="008E13A9">
      <w:r>
        <w:separator/>
      </w:r>
    </w:p>
  </w:endnote>
  <w:endnote w:type="continuationSeparator" w:id="0">
    <w:p w14:paraId="3C2C106C" w14:textId="77777777" w:rsidR="008E13A9" w:rsidRDefault="008E1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20ECC" w14:textId="77777777" w:rsidR="006E6FAF" w:rsidRDefault="005C6FBA">
    <w:pPr>
      <w:pStyle w:val="Pieddepage"/>
      <w:jc w:val="center"/>
      <w:rPr>
        <w:rFonts w:ascii="Tahoma" w:hAnsi="Tahoma"/>
        <w:b/>
        <w:color w:val="000000"/>
      </w:rPr>
    </w:pPr>
    <w:r>
      <w:rPr>
        <w:rFonts w:ascii="Tahoma" w:hAnsi="Tahoma"/>
        <w:b/>
        <w:color w:val="000000"/>
      </w:rPr>
      <w:t>Coordination Périnatale Grand Est (</w:t>
    </w:r>
    <w:proofErr w:type="spellStart"/>
    <w:r>
      <w:rPr>
        <w:rFonts w:ascii="Tahoma" w:hAnsi="Tahoma"/>
        <w:b/>
        <w:color w:val="000000"/>
      </w:rPr>
      <w:t>CoPéGE</w:t>
    </w:r>
    <w:proofErr w:type="spellEnd"/>
    <w:r>
      <w:rPr>
        <w:rFonts w:ascii="Tahoma" w:hAnsi="Tahoma"/>
        <w:b/>
        <w:color w:val="000000"/>
      </w:rPr>
      <w:t>)</w:t>
    </w:r>
  </w:p>
  <w:p w14:paraId="151E8313" w14:textId="77777777" w:rsidR="006E6FAF" w:rsidRDefault="006E6FAF">
    <w:pPr>
      <w:pStyle w:val="Pieddepage"/>
      <w:jc w:val="center"/>
      <w:rPr>
        <w:rFonts w:ascii="Tahoma" w:hAnsi="Tahoma"/>
      </w:rPr>
    </w:pPr>
    <w:r>
      <w:rPr>
        <w:rFonts w:ascii="Tahoma" w:hAnsi="Tahoma"/>
      </w:rPr>
      <w:t xml:space="preserve">10 rue du Docteur </w:t>
    </w:r>
    <w:proofErr w:type="spellStart"/>
    <w:r>
      <w:rPr>
        <w:rFonts w:ascii="Tahoma" w:hAnsi="Tahoma"/>
      </w:rPr>
      <w:t>Heydenreich</w:t>
    </w:r>
    <w:proofErr w:type="spellEnd"/>
    <w:r>
      <w:rPr>
        <w:rFonts w:ascii="Tahoma" w:hAnsi="Tahoma"/>
      </w:rPr>
      <w:t xml:space="preserve"> - CS 74213 - 54042 NANCY Cedex</w:t>
    </w:r>
  </w:p>
  <w:p w14:paraId="4E973702" w14:textId="77777777" w:rsidR="006E6FAF" w:rsidRPr="002B6441" w:rsidRDefault="006E6FAF" w:rsidP="002B6441">
    <w:pPr>
      <w:pStyle w:val="Pieddepage"/>
      <w:jc w:val="center"/>
      <w:rPr>
        <w:sz w:val="18"/>
        <w:szCs w:val="18"/>
      </w:rPr>
    </w:pPr>
    <w:r w:rsidRPr="002B6441">
      <w:rPr>
        <w:rFonts w:ascii="Tahoma" w:hAnsi="Tahoma"/>
        <w:sz w:val="18"/>
        <w:szCs w:val="18"/>
      </w:rPr>
      <w:t>Tél 03 83 3</w:t>
    </w:r>
    <w:r w:rsidR="00D95C96">
      <w:rPr>
        <w:rFonts w:ascii="Tahoma" w:hAnsi="Tahoma"/>
        <w:sz w:val="18"/>
        <w:szCs w:val="18"/>
      </w:rPr>
      <w:t xml:space="preserve">4 36 44 </w:t>
    </w:r>
  </w:p>
  <w:p w14:paraId="1A263008" w14:textId="77777777" w:rsidR="006E6FAF" w:rsidRDefault="006E6FAF">
    <w:pPr>
      <w:pStyle w:val="Pieddepage"/>
      <w:jc w:val="center"/>
    </w:pPr>
  </w:p>
  <w:p w14:paraId="460D5063" w14:textId="77777777" w:rsidR="006E6FAF" w:rsidRDefault="006E6FAF" w:rsidP="005C6FBA">
    <w:pPr>
      <w:pStyle w:val="Pieddepage"/>
      <w:rPr>
        <w:i/>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6E71B" w14:textId="77777777" w:rsidR="008E13A9" w:rsidRDefault="008E13A9">
      <w:r>
        <w:separator/>
      </w:r>
    </w:p>
  </w:footnote>
  <w:footnote w:type="continuationSeparator" w:id="0">
    <w:p w14:paraId="2D7DDF77" w14:textId="77777777" w:rsidR="008E13A9" w:rsidRDefault="008E1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7085D" w14:textId="77777777" w:rsidR="005C6FBA" w:rsidRDefault="008D53BC">
    <w:pPr>
      <w:pStyle w:val="En-tte"/>
    </w:pPr>
    <w:r>
      <w:rPr>
        <w:rFonts w:ascii="Tahoma" w:hAnsi="Tahoma"/>
        <w:noProof/>
        <w:sz w:val="18"/>
        <w:szCs w:val="18"/>
      </w:rPr>
      <w:drawing>
        <wp:inline distT="0" distB="0" distL="0" distR="0" wp14:anchorId="62D96B4B" wp14:editId="49F5F530">
          <wp:extent cx="2800909" cy="1126541"/>
          <wp:effectExtent l="0" t="0" r="0" b="0"/>
          <wp:docPr id="3" name="Image 3" descr="C:\Users\u588043\Desktop\logo\logo_cope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588043\Desktop\logo\logo_cope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2629" cy="11312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A055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CC41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1CD6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44F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809A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2698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FC72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C420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3635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8E01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F7C78"/>
    <w:multiLevelType w:val="hybridMultilevel"/>
    <w:tmpl w:val="9880F11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360CBD"/>
    <w:multiLevelType w:val="hybridMultilevel"/>
    <w:tmpl w:val="9FBA24A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D30011"/>
    <w:multiLevelType w:val="hybridMultilevel"/>
    <w:tmpl w:val="561614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C8407F"/>
    <w:multiLevelType w:val="hybridMultilevel"/>
    <w:tmpl w:val="46B4D50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47E01997"/>
    <w:multiLevelType w:val="hybridMultilevel"/>
    <w:tmpl w:val="FC9213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E6B4E15"/>
    <w:multiLevelType w:val="hybridMultilevel"/>
    <w:tmpl w:val="75EA1F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A4605B"/>
    <w:multiLevelType w:val="hybridMultilevel"/>
    <w:tmpl w:val="33EE87B6"/>
    <w:lvl w:ilvl="0" w:tplc="72CC7D10">
      <w:start w:val="1"/>
      <w:numFmt w:val="decimal"/>
      <w:lvlText w:val="(%1)"/>
      <w:lvlJc w:val="left"/>
      <w:pPr>
        <w:ind w:left="795" w:hanging="4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5"/>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A8"/>
    <w:rsid w:val="0005140C"/>
    <w:rsid w:val="00057673"/>
    <w:rsid w:val="000741AA"/>
    <w:rsid w:val="000A28BA"/>
    <w:rsid w:val="000B5F40"/>
    <w:rsid w:val="000C46B9"/>
    <w:rsid w:val="000D2816"/>
    <w:rsid w:val="000D5D2D"/>
    <w:rsid w:val="000F7B3F"/>
    <w:rsid w:val="00103791"/>
    <w:rsid w:val="001263E1"/>
    <w:rsid w:val="00136B90"/>
    <w:rsid w:val="001408C7"/>
    <w:rsid w:val="00157BC2"/>
    <w:rsid w:val="00170566"/>
    <w:rsid w:val="001C2187"/>
    <w:rsid w:val="002352B0"/>
    <w:rsid w:val="002417BB"/>
    <w:rsid w:val="002422F3"/>
    <w:rsid w:val="002813F2"/>
    <w:rsid w:val="00293895"/>
    <w:rsid w:val="002B6441"/>
    <w:rsid w:val="002D2C44"/>
    <w:rsid w:val="002D440B"/>
    <w:rsid w:val="002F1A2C"/>
    <w:rsid w:val="003533A8"/>
    <w:rsid w:val="00363357"/>
    <w:rsid w:val="003942E9"/>
    <w:rsid w:val="003C0254"/>
    <w:rsid w:val="003C1123"/>
    <w:rsid w:val="003C5B53"/>
    <w:rsid w:val="004234EF"/>
    <w:rsid w:val="00432C35"/>
    <w:rsid w:val="00446626"/>
    <w:rsid w:val="00450A9A"/>
    <w:rsid w:val="00460091"/>
    <w:rsid w:val="0048214B"/>
    <w:rsid w:val="004E7D4C"/>
    <w:rsid w:val="00513FB0"/>
    <w:rsid w:val="00534970"/>
    <w:rsid w:val="0054209B"/>
    <w:rsid w:val="00551EBD"/>
    <w:rsid w:val="00557577"/>
    <w:rsid w:val="005B6E83"/>
    <w:rsid w:val="005C6FBA"/>
    <w:rsid w:val="005E493B"/>
    <w:rsid w:val="005F0935"/>
    <w:rsid w:val="0062315E"/>
    <w:rsid w:val="006266ED"/>
    <w:rsid w:val="00637239"/>
    <w:rsid w:val="006578DA"/>
    <w:rsid w:val="00677330"/>
    <w:rsid w:val="00687EB6"/>
    <w:rsid w:val="006D34BA"/>
    <w:rsid w:val="006E31E8"/>
    <w:rsid w:val="006E6FAF"/>
    <w:rsid w:val="00702E25"/>
    <w:rsid w:val="00714071"/>
    <w:rsid w:val="0071495E"/>
    <w:rsid w:val="00720132"/>
    <w:rsid w:val="007541F9"/>
    <w:rsid w:val="007800A5"/>
    <w:rsid w:val="0079364B"/>
    <w:rsid w:val="007A17FD"/>
    <w:rsid w:val="007B7C9C"/>
    <w:rsid w:val="007C5EF7"/>
    <w:rsid w:val="007E6D5D"/>
    <w:rsid w:val="00813D04"/>
    <w:rsid w:val="00815E3D"/>
    <w:rsid w:val="00816B12"/>
    <w:rsid w:val="00826212"/>
    <w:rsid w:val="0088415F"/>
    <w:rsid w:val="008D503F"/>
    <w:rsid w:val="008D53BC"/>
    <w:rsid w:val="008E13A9"/>
    <w:rsid w:val="008F2B83"/>
    <w:rsid w:val="00915334"/>
    <w:rsid w:val="00921CAE"/>
    <w:rsid w:val="0093419A"/>
    <w:rsid w:val="009745D2"/>
    <w:rsid w:val="0098273B"/>
    <w:rsid w:val="00986293"/>
    <w:rsid w:val="009A663D"/>
    <w:rsid w:val="009D663E"/>
    <w:rsid w:val="009F3F7F"/>
    <w:rsid w:val="00A05772"/>
    <w:rsid w:val="00A12C82"/>
    <w:rsid w:val="00A643C1"/>
    <w:rsid w:val="00A826C9"/>
    <w:rsid w:val="00A94B6D"/>
    <w:rsid w:val="00AB1AE6"/>
    <w:rsid w:val="00AC2B2B"/>
    <w:rsid w:val="00AD67CF"/>
    <w:rsid w:val="00AE0B20"/>
    <w:rsid w:val="00AF018B"/>
    <w:rsid w:val="00B22600"/>
    <w:rsid w:val="00B25DB8"/>
    <w:rsid w:val="00B30B69"/>
    <w:rsid w:val="00B31B39"/>
    <w:rsid w:val="00B36BB0"/>
    <w:rsid w:val="00B62440"/>
    <w:rsid w:val="00BC1B86"/>
    <w:rsid w:val="00BC6594"/>
    <w:rsid w:val="00BC7EE6"/>
    <w:rsid w:val="00BD164A"/>
    <w:rsid w:val="00C21E3F"/>
    <w:rsid w:val="00C66C9A"/>
    <w:rsid w:val="00CB0FBD"/>
    <w:rsid w:val="00CD227B"/>
    <w:rsid w:val="00CE1C21"/>
    <w:rsid w:val="00CF2EC4"/>
    <w:rsid w:val="00D03DA4"/>
    <w:rsid w:val="00D24616"/>
    <w:rsid w:val="00D31318"/>
    <w:rsid w:val="00D45AAF"/>
    <w:rsid w:val="00D55F46"/>
    <w:rsid w:val="00D72089"/>
    <w:rsid w:val="00D8089F"/>
    <w:rsid w:val="00D95C96"/>
    <w:rsid w:val="00DB17E2"/>
    <w:rsid w:val="00DC1CB9"/>
    <w:rsid w:val="00DC456C"/>
    <w:rsid w:val="00DF2043"/>
    <w:rsid w:val="00E2121A"/>
    <w:rsid w:val="00E26405"/>
    <w:rsid w:val="00E657DA"/>
    <w:rsid w:val="00E9490E"/>
    <w:rsid w:val="00E94959"/>
    <w:rsid w:val="00EC1D24"/>
    <w:rsid w:val="00F01333"/>
    <w:rsid w:val="00F04F1B"/>
    <w:rsid w:val="00F05EC0"/>
    <w:rsid w:val="00F20EC2"/>
    <w:rsid w:val="00F301ED"/>
    <w:rsid w:val="00F31BA8"/>
    <w:rsid w:val="00F32171"/>
    <w:rsid w:val="00F334A7"/>
    <w:rsid w:val="00F41EDE"/>
    <w:rsid w:val="00F47EBD"/>
    <w:rsid w:val="00F57CD5"/>
    <w:rsid w:val="00F968EE"/>
    <w:rsid w:val="00FB6CB0"/>
    <w:rsid w:val="00FB76CA"/>
    <w:rsid w:val="00FE2FF1"/>
    <w:rsid w:val="00FE605E"/>
    <w:rsid w:val="00FF68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style="mso-fit-shape-to-text:t"/>
    </o:shapedefaults>
    <o:shapelayout v:ext="edit">
      <o:idmap v:ext="edit" data="1"/>
    </o:shapelayout>
  </w:shapeDefaults>
  <w:decimalSymbol w:val=","/>
  <w:listSeparator w:val=";"/>
  <w14:docId w14:val="5BBE0B75"/>
  <w15:docId w15:val="{72BEF58B-270F-4827-AE6B-8BB3174F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rPr>
  </w:style>
  <w:style w:type="paragraph" w:styleId="Titre1">
    <w:name w:val="heading 1"/>
    <w:basedOn w:val="Normal"/>
    <w:next w:val="Normal"/>
    <w:link w:val="Titre1Car"/>
    <w:qFormat/>
    <w:pPr>
      <w:keepNext/>
      <w:framePr w:w="3179" w:h="289" w:hSpace="141" w:wrap="around" w:vAnchor="text" w:hAnchor="page" w:x="1008" w:y="151"/>
      <w:jc w:val="center"/>
      <w:outlineLvl w:val="0"/>
    </w:pPr>
    <w:rPr>
      <w:b/>
      <w:bCs/>
      <w:i/>
      <w:iCs/>
      <w:sz w:val="18"/>
      <w:szCs w:val="18"/>
    </w:rPr>
  </w:style>
  <w:style w:type="paragraph" w:styleId="Titre2">
    <w:name w:val="heading 2"/>
    <w:basedOn w:val="Normal"/>
    <w:next w:val="Normal"/>
    <w:qFormat/>
    <w:pPr>
      <w:keepNext/>
      <w:outlineLvl w:val="1"/>
    </w:pPr>
    <w:rPr>
      <w:i/>
      <w:iCs/>
    </w:rPr>
  </w:style>
  <w:style w:type="paragraph" w:styleId="Titre3">
    <w:name w:val="heading 3"/>
    <w:basedOn w:val="Normal"/>
    <w:next w:val="Normal"/>
    <w:qFormat/>
    <w:pPr>
      <w:keepNext/>
      <w:ind w:left="993" w:right="283"/>
      <w:outlineLvl w:val="2"/>
    </w:pPr>
    <w:rPr>
      <w:rFonts w:ascii="Comic Sans MS" w:hAnsi="Comic Sans MS"/>
      <w:b/>
      <w:bCs/>
      <w:i/>
      <w:iCs/>
      <w:sz w:val="18"/>
      <w:szCs w:val="18"/>
    </w:rPr>
  </w:style>
  <w:style w:type="paragraph" w:styleId="Titre5">
    <w:name w:val="heading 5"/>
    <w:basedOn w:val="Normal"/>
    <w:next w:val="Normal"/>
    <w:qFormat/>
    <w:pPr>
      <w:keepNext/>
      <w:tabs>
        <w:tab w:val="left" w:pos="567"/>
        <w:tab w:val="left" w:pos="1134"/>
        <w:tab w:val="left" w:pos="5529"/>
      </w:tabs>
      <w:outlineLvl w:val="4"/>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28"/>
      <w:szCs w:val="28"/>
    </w:rPr>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rPr>
      <w:sz w:val="24"/>
      <w:szCs w:val="24"/>
    </w:rPr>
  </w:style>
  <w:style w:type="paragraph" w:styleId="Normalcentr">
    <w:name w:val="Block Text"/>
    <w:basedOn w:val="Normal"/>
    <w:pPr>
      <w:ind w:left="993" w:right="283"/>
    </w:pPr>
    <w:rPr>
      <w:rFonts w:ascii="Comic Sans MS" w:hAnsi="Comic Sans MS"/>
      <w:sz w:val="18"/>
      <w:szCs w:val="18"/>
    </w:rPr>
  </w:style>
  <w:style w:type="paragraph" w:styleId="Retraitcorpsdetexte">
    <w:name w:val="Body Text Indent"/>
    <w:basedOn w:val="Normal"/>
    <w:pPr>
      <w:ind w:left="993"/>
    </w:pPr>
    <w:rPr>
      <w:rFonts w:ascii="Comic Sans MS" w:hAnsi="Comic Sans MS"/>
      <w:i/>
      <w:iCs/>
      <w:sz w:val="18"/>
      <w:szCs w:val="18"/>
    </w:rPr>
  </w:style>
  <w:style w:type="character" w:styleId="Lienhypertexte">
    <w:name w:val="Hyperlink"/>
    <w:basedOn w:val="Policepardfaut"/>
    <w:rPr>
      <w:color w:val="0000FF"/>
      <w:u w:val="single"/>
    </w:rPr>
  </w:style>
  <w:style w:type="paragraph" w:styleId="Explorateurdedocuments">
    <w:name w:val="Document Map"/>
    <w:basedOn w:val="Normal"/>
    <w:semiHidden/>
    <w:pPr>
      <w:shd w:val="clear" w:color="auto" w:fill="000080"/>
    </w:pPr>
    <w:rPr>
      <w:rFonts w:ascii="Tahoma" w:hAnsi="Tahoma" w:cs="Comic Sans MS"/>
    </w:rPr>
  </w:style>
  <w:style w:type="paragraph" w:styleId="Textedebulles">
    <w:name w:val="Balloon Text"/>
    <w:basedOn w:val="Normal"/>
    <w:semiHidden/>
    <w:rPr>
      <w:rFonts w:ascii="Tahoma" w:hAnsi="Tahoma" w:cs="Comic Sans MS"/>
      <w:sz w:val="16"/>
      <w:szCs w:val="16"/>
    </w:rPr>
  </w:style>
  <w:style w:type="paragraph" w:customStyle="1" w:styleId="lgatitre1">
    <w:name w:val="lga titre 1"/>
    <w:basedOn w:val="Normal"/>
    <w:next w:val="Normal"/>
    <w:pPr>
      <w:spacing w:before="240" w:after="60" w:line="360" w:lineRule="auto"/>
    </w:pPr>
    <w:rPr>
      <w:rFonts w:cs="Arial"/>
      <w:b/>
      <w:iCs/>
      <w:kern w:val="32"/>
      <w:sz w:val="32"/>
      <w:szCs w:val="32"/>
    </w:rPr>
  </w:style>
  <w:style w:type="paragraph" w:customStyle="1" w:styleId="lgatitre2">
    <w:name w:val="lga titre 2"/>
    <w:basedOn w:val="Normal"/>
    <w:next w:val="Normal"/>
    <w:pPr>
      <w:spacing w:line="360" w:lineRule="auto"/>
    </w:pPr>
    <w:rPr>
      <w:b/>
      <w:i/>
      <w:sz w:val="28"/>
    </w:rPr>
  </w:style>
  <w:style w:type="paragraph" w:customStyle="1" w:styleId="lgatitre3">
    <w:name w:val="lga titre 3"/>
    <w:basedOn w:val="Normal"/>
    <w:next w:val="Normal"/>
    <w:pPr>
      <w:spacing w:line="360" w:lineRule="auto"/>
    </w:pPr>
    <w:rPr>
      <w:b/>
      <w:sz w:val="24"/>
    </w:rPr>
  </w:style>
  <w:style w:type="character" w:customStyle="1" w:styleId="Titre1Car">
    <w:name w:val="Titre 1 Car"/>
    <w:link w:val="Titre1"/>
    <w:rsid w:val="00460091"/>
    <w:rPr>
      <w:rFonts w:ascii="Arial" w:hAnsi="Arial"/>
      <w:b/>
      <w:bCs/>
      <w:i/>
      <w:iCs/>
      <w:sz w:val="18"/>
      <w:szCs w:val="18"/>
    </w:rPr>
  </w:style>
  <w:style w:type="character" w:customStyle="1" w:styleId="En-tteCar">
    <w:name w:val="En-tête Car"/>
    <w:basedOn w:val="Policepardfaut"/>
    <w:link w:val="En-tte"/>
    <w:rsid w:val="00B62440"/>
    <w:rPr>
      <w:rFonts w:ascii="Arial" w:hAnsi="Arial"/>
    </w:rPr>
  </w:style>
  <w:style w:type="paragraph" w:customStyle="1" w:styleId="Default">
    <w:name w:val="Default"/>
    <w:rsid w:val="00AF018B"/>
    <w:pPr>
      <w:autoSpaceDE w:val="0"/>
      <w:autoSpaceDN w:val="0"/>
      <w:adjustRightInd w:val="0"/>
    </w:pPr>
    <w:rPr>
      <w:rFonts w:ascii="Century Gothic" w:hAnsi="Century Gothic" w:cs="Century Gothic"/>
      <w:color w:val="000000"/>
      <w:sz w:val="24"/>
      <w:szCs w:val="24"/>
    </w:rPr>
  </w:style>
  <w:style w:type="paragraph" w:styleId="Paragraphedeliste">
    <w:name w:val="List Paragraph"/>
    <w:basedOn w:val="Normal"/>
    <w:uiPriority w:val="34"/>
    <w:qFormat/>
    <w:rsid w:val="0062315E"/>
    <w:pPr>
      <w:ind w:left="720"/>
      <w:contextualSpacing/>
    </w:pPr>
  </w:style>
  <w:style w:type="table" w:styleId="Grilledutableau">
    <w:name w:val="Table Grid"/>
    <w:basedOn w:val="TableauNormal"/>
    <w:uiPriority w:val="39"/>
    <w:rsid w:val="00B36B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36BB0"/>
    <w:rPr>
      <w:sz w:val="16"/>
      <w:szCs w:val="16"/>
    </w:rPr>
  </w:style>
  <w:style w:type="paragraph" w:styleId="Commentaire">
    <w:name w:val="annotation text"/>
    <w:basedOn w:val="Normal"/>
    <w:link w:val="CommentaireCar"/>
    <w:uiPriority w:val="99"/>
    <w:semiHidden/>
    <w:unhideWhenUsed/>
    <w:rsid w:val="00B36BB0"/>
    <w:pPr>
      <w:spacing w:after="160"/>
      <w:jc w:val="left"/>
    </w:pPr>
    <w:rPr>
      <w:rFonts w:asciiTheme="minorHAnsi" w:eastAsiaTheme="minorHAnsi" w:hAnsiTheme="minorHAnsi" w:cstheme="minorBidi"/>
      <w:lang w:eastAsia="en-US"/>
    </w:rPr>
  </w:style>
  <w:style w:type="character" w:customStyle="1" w:styleId="CommentaireCar">
    <w:name w:val="Commentaire Car"/>
    <w:basedOn w:val="Policepardfaut"/>
    <w:link w:val="Commentaire"/>
    <w:uiPriority w:val="99"/>
    <w:semiHidden/>
    <w:rsid w:val="00B36BB0"/>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836674">
      <w:bodyDiv w:val="1"/>
      <w:marLeft w:val="0"/>
      <w:marRight w:val="0"/>
      <w:marTop w:val="0"/>
      <w:marBottom w:val="0"/>
      <w:divBdr>
        <w:top w:val="none" w:sz="0" w:space="0" w:color="auto"/>
        <w:left w:val="none" w:sz="0" w:space="0" w:color="auto"/>
        <w:bottom w:val="none" w:sz="0" w:space="0" w:color="auto"/>
        <w:right w:val="none" w:sz="0" w:space="0" w:color="auto"/>
      </w:divBdr>
      <w:divsChild>
        <w:div w:id="674111396">
          <w:marLeft w:val="0"/>
          <w:marRight w:val="0"/>
          <w:marTop w:val="0"/>
          <w:marBottom w:val="0"/>
          <w:divBdr>
            <w:top w:val="none" w:sz="0" w:space="0" w:color="auto"/>
            <w:left w:val="none" w:sz="0" w:space="0" w:color="auto"/>
            <w:bottom w:val="none" w:sz="0" w:space="0" w:color="auto"/>
            <w:right w:val="none" w:sz="0" w:space="0" w:color="auto"/>
          </w:divBdr>
          <w:divsChild>
            <w:div w:id="2008903978">
              <w:marLeft w:val="0"/>
              <w:marRight w:val="0"/>
              <w:marTop w:val="0"/>
              <w:marBottom w:val="0"/>
              <w:divBdr>
                <w:top w:val="none" w:sz="0" w:space="0" w:color="auto"/>
                <w:left w:val="none" w:sz="0" w:space="0" w:color="auto"/>
                <w:bottom w:val="none" w:sz="0" w:space="0" w:color="auto"/>
                <w:right w:val="none" w:sz="0" w:space="0" w:color="auto"/>
              </w:divBdr>
            </w:div>
            <w:div w:id="164125746">
              <w:marLeft w:val="0"/>
              <w:marRight w:val="0"/>
              <w:marTop w:val="0"/>
              <w:marBottom w:val="0"/>
              <w:divBdr>
                <w:top w:val="none" w:sz="0" w:space="0" w:color="auto"/>
                <w:left w:val="none" w:sz="0" w:space="0" w:color="auto"/>
                <w:bottom w:val="none" w:sz="0" w:space="0" w:color="auto"/>
                <w:right w:val="none" w:sz="0" w:space="0" w:color="auto"/>
              </w:divBdr>
            </w:div>
            <w:div w:id="444735219">
              <w:marLeft w:val="0"/>
              <w:marRight w:val="0"/>
              <w:marTop w:val="0"/>
              <w:marBottom w:val="0"/>
              <w:divBdr>
                <w:top w:val="none" w:sz="0" w:space="0" w:color="auto"/>
                <w:left w:val="none" w:sz="0" w:space="0" w:color="auto"/>
                <w:bottom w:val="none" w:sz="0" w:space="0" w:color="auto"/>
                <w:right w:val="none" w:sz="0" w:space="0" w:color="auto"/>
              </w:divBdr>
            </w:div>
            <w:div w:id="1843936805">
              <w:marLeft w:val="0"/>
              <w:marRight w:val="0"/>
              <w:marTop w:val="0"/>
              <w:marBottom w:val="0"/>
              <w:divBdr>
                <w:top w:val="none" w:sz="0" w:space="0" w:color="auto"/>
                <w:left w:val="none" w:sz="0" w:space="0" w:color="auto"/>
                <w:bottom w:val="none" w:sz="0" w:space="0" w:color="auto"/>
                <w:right w:val="none" w:sz="0" w:space="0" w:color="auto"/>
              </w:divBdr>
            </w:div>
            <w:div w:id="707872564">
              <w:marLeft w:val="0"/>
              <w:marRight w:val="0"/>
              <w:marTop w:val="0"/>
              <w:marBottom w:val="0"/>
              <w:divBdr>
                <w:top w:val="none" w:sz="0" w:space="0" w:color="auto"/>
                <w:left w:val="none" w:sz="0" w:space="0" w:color="auto"/>
                <w:bottom w:val="none" w:sz="0" w:space="0" w:color="auto"/>
                <w:right w:val="none" w:sz="0" w:space="0" w:color="auto"/>
              </w:divBdr>
            </w:div>
            <w:div w:id="594897073">
              <w:marLeft w:val="0"/>
              <w:marRight w:val="0"/>
              <w:marTop w:val="0"/>
              <w:marBottom w:val="0"/>
              <w:divBdr>
                <w:top w:val="none" w:sz="0" w:space="0" w:color="auto"/>
                <w:left w:val="none" w:sz="0" w:space="0" w:color="auto"/>
                <w:bottom w:val="none" w:sz="0" w:space="0" w:color="auto"/>
                <w:right w:val="none" w:sz="0" w:space="0" w:color="auto"/>
              </w:divBdr>
            </w:div>
            <w:div w:id="18399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73A2D8E652714BB63DC7BBF02183BC" ma:contentTypeVersion="13" ma:contentTypeDescription="Crée un document." ma:contentTypeScope="" ma:versionID="489459b1b3eeec2bea2ec758c7258569">
  <xsd:schema xmlns:xsd="http://www.w3.org/2001/XMLSchema" xmlns:xs="http://www.w3.org/2001/XMLSchema" xmlns:p="http://schemas.microsoft.com/office/2006/metadata/properties" xmlns:ns1="http://schemas.microsoft.com/sharepoint/v3" xmlns:ns3="547e5d48-bd6b-46e7-8044-ebcf841533a4" xmlns:ns4="93289db9-b56c-446b-973a-e8054a9953d1" targetNamespace="http://schemas.microsoft.com/office/2006/metadata/properties" ma:root="true" ma:fieldsID="116f9824fce6424b7b1ede0226cda286" ns1:_="" ns3:_="" ns4:_="">
    <xsd:import namespace="http://schemas.microsoft.com/sharepoint/v3"/>
    <xsd:import namespace="547e5d48-bd6b-46e7-8044-ebcf841533a4"/>
    <xsd:import namespace="93289db9-b56c-446b-973a-e8054a9953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Propriétés de la stratégie de conformité unifiée" ma:hidden="true" ma:internalName="_ip_UnifiedCompliancePolicyProperties">
      <xsd:simpleType>
        <xsd:restriction base="dms:Note"/>
      </xsd:simpleType>
    </xsd:element>
    <xsd:element name="_ip_UnifiedCompliancePolicyUIAction" ma:index="18"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e5d48-bd6b-46e7-8044-ebcf841533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289db9-b56c-446b-973a-e8054a9953d1"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SharingHintHash" ma:index="15"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3C338D-B922-4B67-AC67-C7179CFFC062}">
  <ds:schemaRefs>
    <ds:schemaRef ds:uri="http://purl.org/dc/terms/"/>
    <ds:schemaRef ds:uri="http://purl.org/dc/dcmitype/"/>
    <ds:schemaRef ds:uri="93289db9-b56c-446b-973a-e8054a9953d1"/>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547e5d48-bd6b-46e7-8044-ebcf841533a4"/>
    <ds:schemaRef ds:uri="http://schemas.microsoft.com/sharepoint/v3"/>
    <ds:schemaRef ds:uri="http://www.w3.org/XML/1998/namespace"/>
  </ds:schemaRefs>
</ds:datastoreItem>
</file>

<file path=customXml/itemProps2.xml><?xml version="1.0" encoding="utf-8"?>
<ds:datastoreItem xmlns:ds="http://schemas.openxmlformats.org/officeDocument/2006/customXml" ds:itemID="{0B6C6A28-48E3-4DD4-9E5D-440999F2AFE4}">
  <ds:schemaRefs>
    <ds:schemaRef ds:uri="http://schemas.microsoft.com/sharepoint/v3/contenttype/forms"/>
  </ds:schemaRefs>
</ds:datastoreItem>
</file>

<file path=customXml/itemProps3.xml><?xml version="1.0" encoding="utf-8"?>
<ds:datastoreItem xmlns:ds="http://schemas.openxmlformats.org/officeDocument/2006/customXml" ds:itemID="{C4A0C237-3061-4789-823D-B53F595C2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7e5d48-bd6b-46e7-8044-ebcf841533a4"/>
    <ds:schemaRef ds:uri="93289db9-b56c-446b-973a-e8054a995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1902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Nancy, le</vt:lpstr>
    </vt:vector>
  </TitlesOfParts>
  <Company/>
  <LinksUpToDate>false</LinksUpToDate>
  <CharactersWithSpaces>2243</CharactersWithSpaces>
  <SharedDoc>false</SharedDoc>
  <HLinks>
    <vt:vector size="12" baseType="variant">
      <vt:variant>
        <vt:i4>3670064</vt:i4>
      </vt:variant>
      <vt:variant>
        <vt:i4>3</vt:i4>
      </vt:variant>
      <vt:variant>
        <vt:i4>0</vt:i4>
      </vt:variant>
      <vt:variant>
        <vt:i4>5</vt:i4>
      </vt:variant>
      <vt:variant>
        <vt:lpwstr>http://www.reseauperinatallorrain.org/</vt:lpwstr>
      </vt:variant>
      <vt:variant>
        <vt:lpwstr/>
      </vt:variant>
      <vt:variant>
        <vt:i4>1179683</vt:i4>
      </vt:variant>
      <vt:variant>
        <vt:i4>0</vt:i4>
      </vt:variant>
      <vt:variant>
        <vt:i4>0</vt:i4>
      </vt:variant>
      <vt:variant>
        <vt:i4>5</vt:i4>
      </vt:variant>
      <vt:variant>
        <vt:lpwstr>mailto:rpl@maternite.chu-nancy.fr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Nancy, le</dc:title>
  <dc:subject/>
  <dc:creator>CREUTZ Margaux</dc:creator>
  <cp:keywords/>
  <dc:description/>
  <cp:lastModifiedBy>CLEMENCE Anne</cp:lastModifiedBy>
  <cp:revision>4</cp:revision>
  <cp:lastPrinted>2020-04-10T09:25:00Z</cp:lastPrinted>
  <dcterms:created xsi:type="dcterms:W3CDTF">2020-04-15T07:26:00Z</dcterms:created>
  <dcterms:modified xsi:type="dcterms:W3CDTF">2020-04-15T12:15:00Z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0x0101007673A2D8E652714BB63DC7BBF02183BC</vt:lpwstr>
  </property>
</Properties>
</file>